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9F71" w14:textId="4D2236EC" w:rsidR="00DA63CF" w:rsidRDefault="00DA63CF" w:rsidP="00DA63CF">
      <w:pPr>
        <w:pBdr>
          <w:bottom w:val="single" w:sz="12" w:space="1" w:color="auto"/>
        </w:pBdr>
        <w:tabs>
          <w:tab w:val="left" w:pos="5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5A7903F" w14:textId="13D72BA3" w:rsidR="00DA63CF" w:rsidRDefault="00B72347" w:rsidP="00B72347">
      <w:pPr>
        <w:pBdr>
          <w:bottom w:val="single" w:sz="12" w:space="1" w:color="auto"/>
        </w:pBdr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0000002" w14:textId="38F88908" w:rsidR="003032E9" w:rsidRPr="00847396" w:rsidRDefault="009E13DB" w:rsidP="00847396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 DEFESA DA </w:t>
      </w:r>
      <w:r w:rsidR="00847396" w:rsidRPr="00847396">
        <w:rPr>
          <w:sz w:val="28"/>
          <w:szCs w:val="28"/>
        </w:rPr>
        <w:t>GESTÃO DE RECURSOS HÍDRICOS</w:t>
      </w:r>
      <w:r>
        <w:rPr>
          <w:sz w:val="28"/>
          <w:szCs w:val="28"/>
        </w:rPr>
        <w:t xml:space="preserve"> E DOS USOS PRIORITÁRIOS DA ÁGUA</w:t>
      </w:r>
    </w:p>
    <w:p w14:paraId="00000003" w14:textId="3E06065A" w:rsidR="003032E9" w:rsidRDefault="00A5709E" w:rsidP="00733D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NOTA TÉCNICA</w:t>
      </w:r>
      <w:r w:rsidR="00847396">
        <w:rPr>
          <w:b/>
          <w:sz w:val="24"/>
          <w:szCs w:val="24"/>
        </w:rPr>
        <w:t xml:space="preserve"> –</w:t>
      </w:r>
      <w:r w:rsidR="009E13DB">
        <w:rPr>
          <w:b/>
          <w:sz w:val="24"/>
          <w:szCs w:val="24"/>
        </w:rPr>
        <w:t xml:space="preserve"> MEDIDA PROVISÓRIA N</w:t>
      </w:r>
      <w:r w:rsidR="009E13DB" w:rsidRPr="009E13DB">
        <w:rPr>
          <w:b/>
          <w:sz w:val="24"/>
          <w:szCs w:val="24"/>
          <w:vertAlign w:val="superscript"/>
        </w:rPr>
        <w:t>o.</w:t>
      </w:r>
      <w:r w:rsidR="009E13DB">
        <w:rPr>
          <w:b/>
          <w:sz w:val="24"/>
          <w:szCs w:val="24"/>
        </w:rPr>
        <w:t xml:space="preserve"> 1304/2025 </w:t>
      </w:r>
    </w:p>
    <w:p w14:paraId="0E665929" w14:textId="2F54A1F1" w:rsidR="00F7414D" w:rsidRDefault="00127EEA" w:rsidP="00127EEA">
      <w:pPr>
        <w:tabs>
          <w:tab w:val="left" w:pos="20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EEA5BF8" w14:textId="0AFAAAF8" w:rsidR="00847396" w:rsidRPr="008365C8" w:rsidRDefault="00847396" w:rsidP="00847396">
      <w:pPr>
        <w:pStyle w:val="Ttulo3"/>
        <w:spacing w:before="0"/>
        <w:ind w:left="3600"/>
        <w:jc w:val="both"/>
        <w:rPr>
          <w:rFonts w:ascii="Calibri Light" w:eastAsia="Open Sans" w:hAnsi="Calibri Light" w:cs="Calibri Light"/>
          <w:b w:val="0"/>
          <w:color w:val="212529"/>
          <w:sz w:val="24"/>
          <w:szCs w:val="24"/>
        </w:rPr>
      </w:pPr>
      <w:r w:rsidRPr="008365C8">
        <w:rPr>
          <w:rFonts w:ascii="Calibri Light" w:eastAsia="Open Sans" w:hAnsi="Calibri Light" w:cs="Calibri Light"/>
          <w:b w:val="0"/>
          <w:color w:val="212529"/>
          <w:sz w:val="24"/>
          <w:szCs w:val="24"/>
        </w:rPr>
        <w:t xml:space="preserve">Dispõe sobre </w:t>
      </w:r>
      <w:r w:rsidR="009E13DB" w:rsidRPr="008365C8">
        <w:rPr>
          <w:rFonts w:ascii="Calibri Light" w:eastAsia="Open Sans" w:hAnsi="Calibri Light" w:cs="Calibri Light"/>
          <w:b w:val="0"/>
          <w:color w:val="212529"/>
          <w:sz w:val="24"/>
          <w:szCs w:val="24"/>
        </w:rPr>
        <w:t xml:space="preserve">a </w:t>
      </w:r>
      <w:r w:rsidR="009E13DB" w:rsidRPr="008365C8">
        <w:rPr>
          <w:rFonts w:ascii="Calibri Light" w:eastAsia="Open Sans" w:hAnsi="Calibri Light" w:cs="Calibri Light"/>
          <w:bCs/>
          <w:color w:val="212529"/>
          <w:sz w:val="24"/>
          <w:szCs w:val="24"/>
        </w:rPr>
        <w:t xml:space="preserve">Redução de Impactos Tarifários para os Consumidores de Energia Elétrica </w:t>
      </w:r>
      <w:r w:rsidR="009E13DB" w:rsidRPr="008365C8">
        <w:rPr>
          <w:rFonts w:ascii="Calibri Light" w:eastAsia="Open Sans" w:hAnsi="Calibri Light" w:cs="Calibri Light"/>
          <w:b w:val="0"/>
          <w:color w:val="212529"/>
          <w:sz w:val="24"/>
          <w:szCs w:val="24"/>
        </w:rPr>
        <w:t>e</w:t>
      </w:r>
      <w:r w:rsidR="009E13DB" w:rsidRPr="008365C8">
        <w:rPr>
          <w:rFonts w:ascii="Calibri Light" w:eastAsia="Open Sans" w:hAnsi="Calibri Light" w:cs="Calibri Light"/>
          <w:bCs/>
          <w:color w:val="212529"/>
          <w:sz w:val="24"/>
          <w:szCs w:val="24"/>
        </w:rPr>
        <w:t xml:space="preserve"> </w:t>
      </w:r>
      <w:r w:rsidRPr="008365C8">
        <w:rPr>
          <w:rFonts w:ascii="Calibri Light" w:eastAsia="Open Sans" w:hAnsi="Calibri Light" w:cs="Calibri Light"/>
          <w:b w:val="0"/>
          <w:color w:val="212529"/>
          <w:sz w:val="24"/>
          <w:szCs w:val="24"/>
        </w:rPr>
        <w:t xml:space="preserve">altera as Leis no </w:t>
      </w:r>
      <w:r w:rsidR="009E13DB" w:rsidRPr="008365C8">
        <w:rPr>
          <w:rFonts w:ascii="Calibri Light" w:eastAsia="Open Sans" w:hAnsi="Calibri Light" w:cs="Calibri Light"/>
          <w:b w:val="0"/>
          <w:color w:val="212529"/>
          <w:sz w:val="24"/>
          <w:szCs w:val="24"/>
        </w:rPr>
        <w:t>9478</w:t>
      </w:r>
      <w:r w:rsidRPr="008365C8">
        <w:rPr>
          <w:rFonts w:ascii="Calibri Light" w:eastAsia="Open Sans" w:hAnsi="Calibri Light" w:cs="Calibri Light"/>
          <w:b w:val="0"/>
          <w:color w:val="212529"/>
          <w:sz w:val="24"/>
          <w:szCs w:val="24"/>
        </w:rPr>
        <w:t xml:space="preserve"> de 19</w:t>
      </w:r>
      <w:r w:rsidR="009E13DB" w:rsidRPr="008365C8">
        <w:rPr>
          <w:rFonts w:ascii="Calibri Light" w:eastAsia="Open Sans" w:hAnsi="Calibri Light" w:cs="Calibri Light"/>
          <w:b w:val="0"/>
          <w:color w:val="212529"/>
          <w:sz w:val="24"/>
          <w:szCs w:val="24"/>
        </w:rPr>
        <w:t>97</w:t>
      </w:r>
      <w:r w:rsidRPr="008365C8">
        <w:rPr>
          <w:rFonts w:ascii="Calibri Light" w:eastAsia="Open Sans" w:hAnsi="Calibri Light" w:cs="Calibri Light"/>
          <w:b w:val="0"/>
          <w:color w:val="212529"/>
          <w:sz w:val="24"/>
          <w:szCs w:val="24"/>
        </w:rPr>
        <w:t xml:space="preserve">, no </w:t>
      </w:r>
      <w:r w:rsidR="009E13DB" w:rsidRPr="008365C8">
        <w:rPr>
          <w:rFonts w:ascii="Calibri Light" w:eastAsia="Open Sans" w:hAnsi="Calibri Light" w:cs="Calibri Light"/>
          <w:b w:val="0"/>
          <w:color w:val="212529"/>
          <w:sz w:val="24"/>
          <w:szCs w:val="24"/>
        </w:rPr>
        <w:t>10.438</w:t>
      </w:r>
      <w:r w:rsidRPr="008365C8">
        <w:rPr>
          <w:rFonts w:ascii="Calibri Light" w:eastAsia="Open Sans" w:hAnsi="Calibri Light" w:cs="Calibri Light"/>
          <w:b w:val="0"/>
          <w:color w:val="212529"/>
          <w:sz w:val="24"/>
          <w:szCs w:val="24"/>
        </w:rPr>
        <w:t xml:space="preserve"> de 2</w:t>
      </w:r>
      <w:r w:rsidR="009E13DB" w:rsidRPr="008365C8">
        <w:rPr>
          <w:rFonts w:ascii="Calibri Light" w:eastAsia="Open Sans" w:hAnsi="Calibri Light" w:cs="Calibri Light"/>
          <w:b w:val="0"/>
          <w:color w:val="212529"/>
          <w:sz w:val="24"/>
          <w:szCs w:val="24"/>
        </w:rPr>
        <w:t xml:space="preserve">002, </w:t>
      </w:r>
      <w:r w:rsidRPr="008365C8">
        <w:rPr>
          <w:rFonts w:ascii="Calibri Light" w:eastAsia="Open Sans" w:hAnsi="Calibri Light" w:cs="Calibri Light"/>
          <w:b w:val="0"/>
          <w:color w:val="212529"/>
          <w:sz w:val="24"/>
          <w:szCs w:val="24"/>
        </w:rPr>
        <w:t xml:space="preserve">no </w:t>
      </w:r>
      <w:r w:rsidR="009E13DB" w:rsidRPr="008365C8">
        <w:rPr>
          <w:rFonts w:ascii="Calibri Light" w:eastAsia="Open Sans" w:hAnsi="Calibri Light" w:cs="Calibri Light"/>
          <w:b w:val="0"/>
          <w:color w:val="212529"/>
          <w:sz w:val="24"/>
          <w:szCs w:val="24"/>
        </w:rPr>
        <w:t xml:space="preserve">12.304 de 2010, no. 12.351 de 2010 e 14.182 de 2021 </w:t>
      </w:r>
      <w:r w:rsidRPr="008365C8">
        <w:rPr>
          <w:rFonts w:ascii="Calibri Light" w:eastAsia="Open Sans" w:hAnsi="Calibri Light" w:cs="Calibri Light"/>
          <w:b w:val="0"/>
          <w:color w:val="212529"/>
          <w:sz w:val="24"/>
          <w:szCs w:val="24"/>
        </w:rPr>
        <w:t xml:space="preserve">e dá outras providências. </w:t>
      </w:r>
    </w:p>
    <w:p w14:paraId="00000005" w14:textId="77777777" w:rsidR="003032E9" w:rsidRPr="00E64376" w:rsidRDefault="003032E9">
      <w:pPr>
        <w:rPr>
          <w:sz w:val="24"/>
          <w:szCs w:val="24"/>
        </w:rPr>
      </w:pPr>
    </w:p>
    <w:p w14:paraId="46556260" w14:textId="09C39F6A" w:rsidR="00FB4D06" w:rsidRPr="00E64376" w:rsidRDefault="00A5709E" w:rsidP="00F008DB">
      <w:pPr>
        <w:spacing w:line="256" w:lineRule="auto"/>
        <w:ind w:right="-280"/>
        <w:jc w:val="both"/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</w:pPr>
      <w:r w:rsidRPr="00E64376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A presente nota técnica </w:t>
      </w:r>
      <w:r w:rsidR="00C84EC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trata </w:t>
      </w:r>
      <w:r w:rsidR="009E13DB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da MPV </w:t>
      </w:r>
      <w:r w:rsidRPr="00E64376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nº </w:t>
      </w:r>
      <w:r w:rsidR="009E13DB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>13</w:t>
      </w:r>
      <w:r w:rsidR="00C84EC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>04 de 2025</w:t>
      </w:r>
      <w:r w:rsidRPr="00E64376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 de autoria d</w:t>
      </w:r>
      <w:r w:rsidR="00C84EC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a Presidência da República, </w:t>
      </w:r>
      <w:r w:rsidR="00847396" w:rsidRPr="00E64376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em tramitação na Comissão </w:t>
      </w:r>
      <w:r w:rsidR="00C84EC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>Mista da Medida Provisória</w:t>
      </w:r>
      <w:r w:rsidR="00847396" w:rsidRPr="00E64376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, com relatoria do senador </w:t>
      </w:r>
      <w:r w:rsidR="00C84EC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Eduardo Braga e relatoria revisora do senador Fernando Bezerra Coelho </w:t>
      </w:r>
      <w:r w:rsidR="00F008DB" w:rsidRPr="00E64376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que </w:t>
      </w:r>
      <w:r w:rsidR="00C84EC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visa a redução de impactos tarifários para consumidores de energia elétrica. </w:t>
      </w:r>
    </w:p>
    <w:p w14:paraId="7E31ACB9" w14:textId="0B81B32E" w:rsidR="008365C8" w:rsidRDefault="00F008DB" w:rsidP="008365C8">
      <w:pPr>
        <w:spacing w:line="256" w:lineRule="auto"/>
        <w:ind w:right="-280"/>
        <w:jc w:val="both"/>
        <w:rPr>
          <w:rFonts w:ascii="Calibri Light" w:eastAsia="Open Sans" w:hAnsi="Calibri Light" w:cs="Calibri Light"/>
          <w:color w:val="212529"/>
          <w:sz w:val="24"/>
          <w:szCs w:val="24"/>
        </w:rPr>
      </w:pPr>
      <w:r w:rsidRPr="00E64376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A propositura impacta de forma drástica a Política Nacional de Recursos Hídricos afetando diretamente a governança da água </w:t>
      </w:r>
      <w:r w:rsidR="008365C8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e a segurança hídrica </w:t>
      </w:r>
      <w:r w:rsidRPr="00E64376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no Brasil, </w:t>
      </w:r>
      <w:r w:rsidR="008365C8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por meio da Emenda 212, de autoria do deputado federal Rodrigo de Castro (União Brasil – MG) </w:t>
      </w:r>
      <w:r w:rsidRPr="00E64376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que </w:t>
      </w:r>
      <w:r w:rsidR="008365C8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visa alterar a Lei 9433/1997 em seu artigo 1º, inciso III, para incluir dentre os usos prioritários da água </w:t>
      </w:r>
      <w:r w:rsidR="008365C8" w:rsidRPr="008365C8">
        <w:rPr>
          <w:rFonts w:ascii="Calibri Light" w:eastAsia="Open Sans" w:hAnsi="Calibri Light" w:cs="Calibri Light"/>
          <w:color w:val="212529"/>
          <w:sz w:val="24"/>
          <w:szCs w:val="24"/>
        </w:rPr>
        <w:t>a segurança do suprimento eletroenergético</w:t>
      </w:r>
      <w:r w:rsidR="008365C8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em situações de escassez. </w:t>
      </w:r>
    </w:p>
    <w:p w14:paraId="50053F26" w14:textId="2E77B5AF" w:rsidR="007D58A4" w:rsidRPr="008365C8" w:rsidRDefault="007D58A4" w:rsidP="008365C8">
      <w:pPr>
        <w:spacing w:line="256" w:lineRule="auto"/>
        <w:ind w:right="-280"/>
        <w:jc w:val="both"/>
        <w:rPr>
          <w:rFonts w:ascii="Calibri Light" w:eastAsia="Open Sans" w:hAnsi="Calibri Light" w:cs="Calibri Light"/>
          <w:color w:val="212529"/>
          <w:sz w:val="24"/>
          <w:szCs w:val="24"/>
        </w:rPr>
      </w:pPr>
      <w:r>
        <w:rPr>
          <w:rFonts w:ascii="Calibri Light" w:eastAsia="Open Sans" w:hAnsi="Calibri Light" w:cs="Calibri Light"/>
          <w:color w:val="212529"/>
          <w:sz w:val="24"/>
          <w:szCs w:val="24"/>
        </w:rPr>
        <w:t>A proposta de incluir a geração de energia hidrelétrica como uso prioritário da água em situações de escassez representa um grave retrocesso jurídico, institucional e ético para o país.</w:t>
      </w:r>
    </w:p>
    <w:p w14:paraId="25E46E7A" w14:textId="77777777" w:rsidR="00F961AE" w:rsidRDefault="00F961AE"/>
    <w:p w14:paraId="00000013" w14:textId="77777777" w:rsidR="003032E9" w:rsidRDefault="00A5709E" w:rsidP="00733D8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Open Sans" w:eastAsia="Open Sans" w:hAnsi="Open Sans" w:cs="Open Sans"/>
          <w:b/>
          <w:color w:val="212529"/>
          <w:highlight w:val="white"/>
        </w:rPr>
      </w:pPr>
      <w:r>
        <w:rPr>
          <w:rFonts w:ascii="Open Sans" w:eastAsia="Open Sans" w:hAnsi="Open Sans" w:cs="Open Sans"/>
          <w:b/>
          <w:color w:val="212529"/>
          <w:highlight w:val="white"/>
        </w:rPr>
        <w:t>INTRODUÇÃO</w:t>
      </w:r>
    </w:p>
    <w:p w14:paraId="00000014" w14:textId="77777777" w:rsidR="003032E9" w:rsidRDefault="003032E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Open Sans" w:eastAsia="Open Sans" w:hAnsi="Open Sans" w:cs="Open Sans"/>
          <w:b/>
          <w:color w:val="212529"/>
          <w:highlight w:val="white"/>
        </w:rPr>
      </w:pPr>
    </w:p>
    <w:p w14:paraId="00000015" w14:textId="0C6A8F96" w:rsidR="003032E9" w:rsidRPr="003B23A4" w:rsidRDefault="00A5709E">
      <w:pPr>
        <w:spacing w:line="256" w:lineRule="auto"/>
        <w:ind w:right="-280"/>
        <w:jc w:val="both"/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</w:pPr>
      <w:r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A Constituição brasileira estabelece que </w:t>
      </w:r>
      <w:r w:rsidRPr="008365C8">
        <w:rPr>
          <w:rFonts w:ascii="Calibri Light" w:eastAsia="Open Sans" w:hAnsi="Calibri Light" w:cs="Calibri Light"/>
          <w:b/>
          <w:bCs/>
          <w:color w:val="212529"/>
          <w:sz w:val="24"/>
          <w:szCs w:val="24"/>
          <w:highlight w:val="white"/>
        </w:rPr>
        <w:t>água é um bem de uso comum do povo</w:t>
      </w:r>
      <w:r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, recurso natural limitado e </w:t>
      </w:r>
      <w:r w:rsidRPr="008365C8">
        <w:rPr>
          <w:rFonts w:ascii="Calibri Light" w:eastAsia="Open Sans" w:hAnsi="Calibri Light" w:cs="Calibri Light"/>
          <w:b/>
          <w:bCs/>
          <w:color w:val="212529"/>
          <w:sz w:val="24"/>
          <w:szCs w:val="24"/>
          <w:highlight w:val="white"/>
        </w:rPr>
        <w:t>essencial à vida</w:t>
      </w:r>
      <w:r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>, ao desenvolvimento econômico, ao bem-estar social e ao equilíbrio dos ecossistemas. Para sua gestão e governança, há 2</w:t>
      </w:r>
      <w:r w:rsidR="008365C8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>8</w:t>
      </w:r>
      <w:r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 anos foi sancionada a Lei 9.443/1997 que instituiu a Política Nacional de Recursos Hídricos e o Sistema Nacional de </w:t>
      </w:r>
      <w:r w:rsidR="00F7414D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Gerenciamento de </w:t>
      </w:r>
      <w:r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Recursos Hídricos. </w:t>
      </w:r>
    </w:p>
    <w:p w14:paraId="0F9AB6CB" w14:textId="77777777" w:rsidR="008365C8" w:rsidRDefault="00A5709E">
      <w:pPr>
        <w:spacing w:line="256" w:lineRule="auto"/>
        <w:ind w:right="-280"/>
        <w:jc w:val="both"/>
        <w:rPr>
          <w:rFonts w:ascii="Calibri Light" w:eastAsia="Open Sans" w:hAnsi="Calibri Light" w:cs="Calibri Light"/>
          <w:color w:val="212529"/>
          <w:sz w:val="24"/>
          <w:szCs w:val="24"/>
        </w:rPr>
      </w:pPr>
      <w:r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lastRenderedPageBreak/>
        <w:t xml:space="preserve">Considerada o verdadeiro Marco da Gestão e </w:t>
      </w:r>
      <w:r w:rsidR="00F7414D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da </w:t>
      </w:r>
      <w:r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>Governança das Águas no Brasil por dotar o país de um instrumento democrático, contemporâneo e em sintonia com as diretrizes da Organização das Nações Unidas (ONU), a Política Nacional de Recursos Hídricos incorporou conceitos fundamentais para sustentabilidade em seus princípios: gestão descentralizada e integrada, promoção da participação social, adoção da bacia hidrográfica como unidade de planejamento, reconhecimento da água como elemento escasso dotado de valor econômico</w:t>
      </w:r>
      <w:r w:rsidR="00975495"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, cujos instrumentos de gestão devem ser implementados no país por meio da Agência Nacional de Águas e Saneamento </w:t>
      </w:r>
      <w:r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>.</w:t>
      </w:r>
    </w:p>
    <w:p w14:paraId="3ECB098F" w14:textId="591EAB11" w:rsidR="007D58A4" w:rsidRDefault="007D58A4">
      <w:pPr>
        <w:spacing w:line="256" w:lineRule="auto"/>
        <w:ind w:right="-280"/>
        <w:jc w:val="both"/>
        <w:rPr>
          <w:rFonts w:ascii="Calibri Light" w:eastAsia="Open Sans" w:hAnsi="Calibri Light" w:cs="Calibri Light"/>
          <w:color w:val="212529"/>
          <w:sz w:val="24"/>
          <w:szCs w:val="24"/>
        </w:rPr>
      </w:pPr>
      <w:r>
        <w:rPr>
          <w:rFonts w:ascii="Calibri Light" w:eastAsia="Open Sans" w:hAnsi="Calibri Light" w:cs="Calibri Light"/>
          <w:color w:val="212529"/>
          <w:sz w:val="24"/>
          <w:szCs w:val="24"/>
        </w:rPr>
        <w:t xml:space="preserve">Por meio da Resolução 64/292 de 2010, a Organização das Nações Unidas </w:t>
      </w:r>
      <w:r w:rsidR="008365C8" w:rsidRPr="008365C8">
        <w:rPr>
          <w:rFonts w:ascii="Calibri Light" w:eastAsia="Open Sans" w:hAnsi="Calibri Light" w:cs="Calibri Light"/>
          <w:color w:val="212529"/>
          <w:sz w:val="24"/>
          <w:szCs w:val="24"/>
        </w:rPr>
        <w:t>declarou o acesso à água e ao saneamento como direito humano. A realidade no Brasil, especialmente neste momento de emergência climática e crise hídrica, evidencia o enorme desafio para tornar a aplicação dessa Resolução efetiva e promover a tão almejada universalização do saneamento e a segurança hídrica. Um importante passo nesse sentido foi dado pelo Senado Federal ao aprovar em março de 2021, na semana da água, por unanimidade, o Projeto de Emenda Constitucional (PEC</w:t>
      </w:r>
      <w:r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No</w:t>
      </w:r>
      <w:r w:rsidR="008365C8" w:rsidRPr="008365C8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06/2021) </w:t>
      </w:r>
      <w:r>
        <w:rPr>
          <w:rFonts w:ascii="Calibri Light" w:eastAsia="Open Sans" w:hAnsi="Calibri Light" w:cs="Calibri Light"/>
          <w:color w:val="212529"/>
          <w:sz w:val="24"/>
          <w:szCs w:val="24"/>
        </w:rPr>
        <w:t xml:space="preserve">agora em tramitação na Câmara dos Deputados e </w:t>
      </w:r>
      <w:r w:rsidR="008365C8" w:rsidRPr="008365C8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que torna o acesso à água potável direito fundamental dos brasileiros. </w:t>
      </w:r>
    </w:p>
    <w:p w14:paraId="0000001A" w14:textId="336382FC" w:rsidR="003032E9" w:rsidRDefault="00975495">
      <w:pPr>
        <w:spacing w:line="256" w:lineRule="auto"/>
        <w:ind w:right="-280"/>
        <w:jc w:val="both"/>
        <w:rPr>
          <w:rFonts w:ascii="Calibri Light" w:eastAsia="Open Sans" w:hAnsi="Calibri Light" w:cs="Calibri Light"/>
          <w:color w:val="212529"/>
          <w:sz w:val="24"/>
          <w:szCs w:val="24"/>
        </w:rPr>
      </w:pPr>
      <w:r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O Brasil conta atualmente com </w:t>
      </w:r>
      <w:r w:rsidR="00A5709E"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>24</w:t>
      </w:r>
      <w:r w:rsidR="001F7477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>9</w:t>
      </w:r>
      <w:r w:rsidR="00A5709E"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 (duzentos e quarenta e </w:t>
      </w:r>
      <w:r w:rsidR="001F7477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>nove</w:t>
      </w:r>
      <w:r w:rsidR="00A5709E"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) Comitês de Bacias Hidrográficas </w:t>
      </w:r>
      <w:r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em atividade </w:t>
      </w:r>
      <w:r w:rsidR="00A5709E"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>no país. Esses colegiados deliberativos são a base da gestão dos recursos hídricos, que tem como fundamento a descentralização e a participação dos usuários da água, da sociedade civil e do Poder Público</w:t>
      </w:r>
      <w:r w:rsidR="00685ED7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 e a gestão integrada</w:t>
      </w:r>
      <w:r w:rsidR="00A5709E"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 para </w:t>
      </w:r>
      <w:r w:rsidRPr="003B23A4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>governança da águ</w:t>
      </w:r>
      <w:r w:rsidR="00685ED7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a. O Observatório da Governança da Água, </w:t>
      </w:r>
      <w:r w:rsidR="00685ED7" w:rsidRPr="00685ED7">
        <w:rPr>
          <w:rFonts w:ascii="Calibri Light" w:eastAsia="Open Sans" w:hAnsi="Calibri Light" w:cs="Calibri Light"/>
          <w:color w:val="212529"/>
          <w:sz w:val="24"/>
          <w:szCs w:val="24"/>
        </w:rPr>
        <w:t>rede que atua para garantir a segurança hídrica através da articulação, mobilização e integração de atores relacionados à governança e à gestão das águas no Brasil</w:t>
      </w:r>
      <w:r w:rsidR="00B766FD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manifesta seu posicionamento em defesa da integridade da Política Nacional de Recursos Hídricos contra a Emenda 212, pelos motivos abaixo elencados: </w:t>
      </w:r>
    </w:p>
    <w:p w14:paraId="3CD72434" w14:textId="77134B9F" w:rsidR="00B766FD" w:rsidRPr="00B766FD" w:rsidRDefault="00B766FD" w:rsidP="00B766FD">
      <w:pPr>
        <w:spacing w:line="256" w:lineRule="auto"/>
        <w:ind w:right="-280"/>
        <w:jc w:val="both"/>
        <w:rPr>
          <w:rFonts w:ascii="Calibri Light" w:eastAsia="Open Sans" w:hAnsi="Calibri Light" w:cs="Calibri Light"/>
          <w:b/>
          <w:bCs/>
          <w:color w:val="212529"/>
          <w:sz w:val="24"/>
          <w:szCs w:val="24"/>
        </w:rPr>
      </w:pPr>
      <w:r>
        <w:rPr>
          <w:rFonts w:ascii="Calibri Light" w:eastAsia="Open Sans" w:hAnsi="Calibri Light" w:cs="Calibri Light"/>
          <w:b/>
          <w:bCs/>
          <w:color w:val="212529"/>
          <w:sz w:val="24"/>
          <w:szCs w:val="24"/>
        </w:rPr>
        <w:t xml:space="preserve">DA </w:t>
      </w:r>
      <w:r w:rsidRPr="00B766FD">
        <w:rPr>
          <w:rFonts w:ascii="Calibri Light" w:eastAsia="Open Sans" w:hAnsi="Calibri Light" w:cs="Calibri Light"/>
          <w:b/>
          <w:bCs/>
          <w:color w:val="212529"/>
          <w:sz w:val="24"/>
          <w:szCs w:val="24"/>
        </w:rPr>
        <w:t>VIOLAÇÃO DO DIREITO HUMANO À ÁGUA</w:t>
      </w:r>
    </w:p>
    <w:p w14:paraId="7C11B2CF" w14:textId="0809E6EF" w:rsidR="00B766FD" w:rsidRPr="00B766FD" w:rsidRDefault="00B766FD" w:rsidP="00B766FD">
      <w:pPr>
        <w:spacing w:line="256" w:lineRule="auto"/>
        <w:ind w:right="-280"/>
        <w:jc w:val="both"/>
        <w:rPr>
          <w:rFonts w:ascii="Calibri Light" w:eastAsia="Open Sans" w:hAnsi="Calibri Light" w:cs="Calibri Light"/>
          <w:color w:val="212529"/>
          <w:sz w:val="24"/>
          <w:szCs w:val="24"/>
        </w:rPr>
      </w:pP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>O Brasil reconhece o direito humano à água, conforme a Resolução n° 64/292 da ONU (2010), incorporado à legislação e às políticas públicas nacionais</w:t>
      </w:r>
      <w:r w:rsidR="002E443F">
        <w:rPr>
          <w:rFonts w:ascii="Calibri Light" w:eastAsia="Open Sans" w:hAnsi="Calibri Light" w:cs="Calibri Light"/>
          <w:color w:val="212529"/>
          <w:sz w:val="24"/>
          <w:szCs w:val="24"/>
        </w:rPr>
        <w:t>, bem de uso comum do povo, essencial à sadia qualidade de vida, impondo ao Poder Público e à coletividade o dever de defendê-la e preservá-la para as presentes e futuras gerações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. Equiparar a geração de energia ao consumo humano dilui a primazia do uso essencial </w:t>
      </w:r>
      <w:r w:rsidR="002E443F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da água 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para a vida, contrariando a hierarquia de valores consagrada pela </w:t>
      </w:r>
      <w:r w:rsidR="002E443F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Constituição Federal e pela 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>própria Lei nº 9.433/1997</w:t>
      </w:r>
      <w:r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.</w:t>
      </w:r>
    </w:p>
    <w:p w14:paraId="770A006A" w14:textId="49F5F701" w:rsidR="00B766FD" w:rsidRPr="00B766FD" w:rsidRDefault="00B766FD" w:rsidP="00B766FD">
      <w:pPr>
        <w:spacing w:line="256" w:lineRule="auto"/>
        <w:ind w:right="-280"/>
        <w:jc w:val="both"/>
        <w:rPr>
          <w:rFonts w:ascii="Calibri Light" w:eastAsia="Open Sans" w:hAnsi="Calibri Light" w:cs="Calibri Light"/>
          <w:b/>
          <w:bCs/>
          <w:color w:val="212529"/>
          <w:sz w:val="24"/>
          <w:szCs w:val="24"/>
        </w:rPr>
      </w:pPr>
      <w:r>
        <w:rPr>
          <w:rFonts w:ascii="Calibri Light" w:eastAsia="Open Sans" w:hAnsi="Calibri Light" w:cs="Calibri Light"/>
          <w:b/>
          <w:bCs/>
          <w:color w:val="212529"/>
          <w:sz w:val="24"/>
          <w:szCs w:val="24"/>
        </w:rPr>
        <w:t xml:space="preserve">DA </w:t>
      </w:r>
      <w:r w:rsidRPr="00B766FD">
        <w:rPr>
          <w:rFonts w:ascii="Calibri Light" w:eastAsia="Open Sans" w:hAnsi="Calibri Light" w:cs="Calibri Light"/>
          <w:b/>
          <w:bCs/>
          <w:color w:val="212529"/>
          <w:sz w:val="24"/>
          <w:szCs w:val="24"/>
        </w:rPr>
        <w:t>INCONSTITUCIONALIDADE MATERIAL</w:t>
      </w:r>
    </w:p>
    <w:p w14:paraId="55BEE0E9" w14:textId="5CA02CD9" w:rsidR="00B766FD" w:rsidRPr="00B766FD" w:rsidRDefault="00B766FD" w:rsidP="00B766FD">
      <w:pPr>
        <w:spacing w:line="256" w:lineRule="auto"/>
        <w:ind w:right="-280"/>
        <w:jc w:val="both"/>
        <w:rPr>
          <w:rFonts w:ascii="Calibri Light" w:eastAsia="Open Sans" w:hAnsi="Calibri Light" w:cs="Calibri Light"/>
          <w:color w:val="212529"/>
          <w:sz w:val="24"/>
          <w:szCs w:val="24"/>
        </w:rPr>
      </w:pP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>A água é bem público e deve ser gerida segundo o interesse coletivo e a função social (</w:t>
      </w:r>
      <w:r>
        <w:rPr>
          <w:rFonts w:ascii="Calibri Light" w:eastAsia="Open Sans" w:hAnsi="Calibri Light" w:cs="Calibri Light"/>
          <w:color w:val="212529"/>
          <w:sz w:val="24"/>
          <w:szCs w:val="24"/>
        </w:rPr>
        <w:t>A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rt. 225 da Constituição Federal). A </w:t>
      </w:r>
      <w:r>
        <w:rPr>
          <w:rFonts w:ascii="Calibri Light" w:eastAsia="Open Sans" w:hAnsi="Calibri Light" w:cs="Calibri Light"/>
          <w:color w:val="212529"/>
          <w:sz w:val="24"/>
          <w:szCs w:val="24"/>
        </w:rPr>
        <w:t xml:space="preserve">Emenda 212 à 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Medida Provisória propõe alterar esse princípio, sem debate 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lastRenderedPageBreak/>
        <w:t>público e sem urgência comprovada, violando também princípios da gestão participativa previstos na Lei das Águas</w:t>
      </w:r>
      <w:r w:rsidR="002E443F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e em tratados internacionais dos quais o Brasil é signatário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>.</w:t>
      </w:r>
    </w:p>
    <w:p w14:paraId="16C734F8" w14:textId="0940D735" w:rsidR="00B766FD" w:rsidRPr="00B766FD" w:rsidRDefault="002E443F" w:rsidP="00B766FD">
      <w:pPr>
        <w:spacing w:line="256" w:lineRule="auto"/>
        <w:ind w:right="-280"/>
        <w:jc w:val="both"/>
        <w:rPr>
          <w:rFonts w:ascii="Calibri Light" w:eastAsia="Open Sans" w:hAnsi="Calibri Light" w:cs="Calibri Light"/>
          <w:b/>
          <w:bCs/>
          <w:color w:val="212529"/>
          <w:sz w:val="24"/>
          <w:szCs w:val="24"/>
        </w:rPr>
      </w:pPr>
      <w:r w:rsidRPr="00B766FD">
        <w:rPr>
          <w:rFonts w:ascii="Calibri Light" w:eastAsia="Open Sans" w:hAnsi="Calibri Light" w:cs="Calibri Light"/>
          <w:b/>
          <w:bCs/>
          <w:color w:val="212529"/>
          <w:sz w:val="24"/>
          <w:szCs w:val="24"/>
        </w:rPr>
        <w:t>AMPLIAÇÃO INDEVIDA DA PRIORIDADE DE USO</w:t>
      </w:r>
    </w:p>
    <w:p w14:paraId="7347DE44" w14:textId="4DA64726" w:rsidR="00B766FD" w:rsidRPr="00B766FD" w:rsidRDefault="00B766FD" w:rsidP="00B766FD">
      <w:pPr>
        <w:spacing w:line="256" w:lineRule="auto"/>
        <w:ind w:right="-280"/>
        <w:jc w:val="both"/>
        <w:rPr>
          <w:rFonts w:ascii="Calibri Light" w:eastAsia="Open Sans" w:hAnsi="Calibri Light" w:cs="Calibri Light"/>
          <w:color w:val="212529"/>
          <w:sz w:val="24"/>
          <w:szCs w:val="24"/>
        </w:rPr>
      </w:pP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A </w:t>
      </w:r>
      <w:r w:rsidR="002E443F">
        <w:rPr>
          <w:rFonts w:ascii="Calibri Light" w:eastAsia="Open Sans" w:hAnsi="Calibri Light" w:cs="Calibri Light"/>
          <w:color w:val="212529"/>
          <w:sz w:val="24"/>
          <w:szCs w:val="24"/>
        </w:rPr>
        <w:t>alteração proposta para a Lei 9433/97 pretende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</w:t>
      </w:r>
      <w:r w:rsidR="002E443F">
        <w:rPr>
          <w:rFonts w:ascii="Calibri Light" w:eastAsia="Open Sans" w:hAnsi="Calibri Light" w:cs="Calibri Light"/>
          <w:color w:val="212529"/>
          <w:sz w:val="24"/>
          <w:szCs w:val="24"/>
        </w:rPr>
        <w:t>incluir a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geração hidrelétrica</w:t>
      </w:r>
      <w:r w:rsidR="002E443F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como uso prioritário da água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</w:t>
      </w:r>
      <w:r w:rsidR="002E443F">
        <w:rPr>
          <w:rFonts w:ascii="Calibri Light" w:eastAsia="Open Sans" w:hAnsi="Calibri Light" w:cs="Calibri Light"/>
          <w:color w:val="212529"/>
          <w:sz w:val="24"/>
          <w:szCs w:val="24"/>
        </w:rPr>
        <w:t>em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qualquer situação, inclusive em situações de escassez. Isso significa que o Setor Elétrico passa a </w:t>
      </w:r>
      <w:r w:rsidR="002E443F">
        <w:rPr>
          <w:rFonts w:ascii="Calibri Light" w:eastAsia="Open Sans" w:hAnsi="Calibri Light" w:cs="Calibri Light"/>
          <w:color w:val="212529"/>
          <w:sz w:val="24"/>
          <w:szCs w:val="24"/>
        </w:rPr>
        <w:t>concorrer com o uso mais nobre do recurso natural – água, que é o uso humano e a dessedentação de animais, passando a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</w:t>
      </w:r>
      <w:r w:rsidR="002E443F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ter 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>prioridade permanente, e não apenas em contextos excepcionais, descaracterizando o princípio do uso múltiplo e equitativo das águas e subordinando os demais usos a um interesse setorial</w:t>
      </w:r>
      <w:r w:rsidR="002E443F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e econômico 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>.</w:t>
      </w:r>
    </w:p>
    <w:p w14:paraId="145ABEB5" w14:textId="65711E9E" w:rsidR="00B766FD" w:rsidRPr="00B766FD" w:rsidRDefault="002E443F" w:rsidP="00B766FD">
      <w:pPr>
        <w:spacing w:line="256" w:lineRule="auto"/>
        <w:ind w:right="-280"/>
        <w:jc w:val="both"/>
        <w:rPr>
          <w:rFonts w:ascii="Calibri Light" w:eastAsia="Open Sans" w:hAnsi="Calibri Light" w:cs="Calibri Light"/>
          <w:b/>
          <w:bCs/>
          <w:color w:val="212529"/>
          <w:sz w:val="24"/>
          <w:szCs w:val="24"/>
        </w:rPr>
      </w:pPr>
      <w:r w:rsidRPr="00B766FD">
        <w:rPr>
          <w:rFonts w:ascii="Calibri Light" w:eastAsia="Open Sans" w:hAnsi="Calibri Light" w:cs="Calibri Light"/>
          <w:b/>
          <w:bCs/>
          <w:color w:val="212529"/>
          <w:sz w:val="24"/>
          <w:szCs w:val="24"/>
        </w:rPr>
        <w:t>AUSÊNCIA DE URGÊNCIA E RELEVÂNCIA</w:t>
      </w:r>
    </w:p>
    <w:p w14:paraId="7852F0FB" w14:textId="5030A7EB" w:rsidR="00B766FD" w:rsidRPr="00B766FD" w:rsidRDefault="00B766FD" w:rsidP="00B766FD">
      <w:pPr>
        <w:spacing w:line="256" w:lineRule="auto"/>
        <w:ind w:right="-280"/>
        <w:jc w:val="both"/>
        <w:rPr>
          <w:rFonts w:ascii="Calibri Light" w:eastAsia="Open Sans" w:hAnsi="Calibri Light" w:cs="Calibri Light"/>
          <w:color w:val="212529"/>
          <w:sz w:val="24"/>
          <w:szCs w:val="24"/>
        </w:rPr>
      </w:pP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>A hierarquia de usos da água é tema estruturante e não emergencial. Alterá-la por Medida Provisória dribla o processo legislativo regular, impedindo o debate técnico e democrático no Congresso Nacional e nos colegiados do Sistema Nacional de Gerenciamento de Recursos Hídricos (SINGREH), notadamente nos Conselhos Nacional e Estaduais/Distrital de Recursos Hídricos</w:t>
      </w:r>
      <w:r w:rsidR="00A55512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e nos Comitês de Bacias Hidrográficas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>.</w:t>
      </w:r>
    </w:p>
    <w:p w14:paraId="20F3B51D" w14:textId="1B46D5FF" w:rsidR="00B766FD" w:rsidRPr="00B766FD" w:rsidRDefault="00A55512" w:rsidP="00B766FD">
      <w:pPr>
        <w:spacing w:line="256" w:lineRule="auto"/>
        <w:ind w:right="-280"/>
        <w:jc w:val="both"/>
        <w:rPr>
          <w:rFonts w:ascii="Calibri Light" w:eastAsia="Open Sans" w:hAnsi="Calibri Light" w:cs="Calibri Light"/>
          <w:b/>
          <w:bCs/>
          <w:color w:val="212529"/>
          <w:sz w:val="24"/>
          <w:szCs w:val="24"/>
        </w:rPr>
      </w:pPr>
      <w:r w:rsidRPr="00B766FD">
        <w:rPr>
          <w:rFonts w:ascii="Calibri Light" w:eastAsia="Open Sans" w:hAnsi="Calibri Light" w:cs="Calibri Light"/>
          <w:b/>
          <w:bCs/>
          <w:color w:val="212529"/>
          <w:sz w:val="24"/>
          <w:szCs w:val="24"/>
        </w:rPr>
        <w:t>RISCO DE CAPTURA INSTITUCIONAL</w:t>
      </w:r>
    </w:p>
    <w:p w14:paraId="4077CA9D" w14:textId="09701CBB" w:rsidR="00B766FD" w:rsidRPr="00B766FD" w:rsidRDefault="00B766FD" w:rsidP="00B766FD">
      <w:pPr>
        <w:spacing w:line="256" w:lineRule="auto"/>
        <w:ind w:right="-280"/>
        <w:jc w:val="both"/>
        <w:rPr>
          <w:rFonts w:ascii="Calibri Light" w:eastAsia="Open Sans" w:hAnsi="Calibri Light" w:cs="Calibri Light"/>
          <w:color w:val="212529"/>
          <w:sz w:val="24"/>
          <w:szCs w:val="24"/>
        </w:rPr>
      </w:pP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A inclusão do Setor Elétrico como prioridade de uso </w:t>
      </w:r>
      <w:r w:rsidR="00A55512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da água 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>cria risco de subordinação da política de recursos hídricos à lógica energética, enfraquecendo a autonomia técnica e ambiental da Agência Nacional de Águas e Saneamento Básico – ANA, dos Órgãos Estaduais/Distrital Gestores de Recursos Hídricos, dos Conselhos de Recursos Hídricos e dos Comitês de Bacia</w:t>
      </w:r>
      <w:r w:rsidR="00A55512">
        <w:rPr>
          <w:rFonts w:ascii="Calibri Light" w:eastAsia="Open Sans" w:hAnsi="Calibri Light" w:cs="Calibri Light"/>
          <w:color w:val="212529"/>
          <w:sz w:val="24"/>
          <w:szCs w:val="24"/>
        </w:rPr>
        <w:t>s Hidrográficas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>.</w:t>
      </w:r>
    </w:p>
    <w:p w14:paraId="4EA4C1E6" w14:textId="159CC3FE" w:rsidR="00B766FD" w:rsidRPr="00B766FD" w:rsidRDefault="00A55512" w:rsidP="00B766FD">
      <w:pPr>
        <w:spacing w:line="256" w:lineRule="auto"/>
        <w:ind w:right="-280"/>
        <w:jc w:val="both"/>
        <w:rPr>
          <w:rFonts w:ascii="Calibri Light" w:eastAsia="Open Sans" w:hAnsi="Calibri Light" w:cs="Calibri Light"/>
          <w:b/>
          <w:bCs/>
          <w:color w:val="212529"/>
          <w:sz w:val="24"/>
          <w:szCs w:val="24"/>
        </w:rPr>
      </w:pPr>
      <w:r w:rsidRPr="00B766FD">
        <w:rPr>
          <w:rFonts w:ascii="Calibri Light" w:eastAsia="Open Sans" w:hAnsi="Calibri Light" w:cs="Calibri Light"/>
          <w:b/>
          <w:bCs/>
          <w:color w:val="212529"/>
          <w:sz w:val="24"/>
          <w:szCs w:val="24"/>
        </w:rPr>
        <w:t>AGRAVAMENTO DE CONFLITOS SETORIAIS</w:t>
      </w:r>
    </w:p>
    <w:p w14:paraId="1917B067" w14:textId="238F8149" w:rsidR="00B766FD" w:rsidRPr="00A55512" w:rsidRDefault="00B766FD">
      <w:pPr>
        <w:spacing w:line="256" w:lineRule="auto"/>
        <w:ind w:right="-280"/>
        <w:jc w:val="both"/>
        <w:rPr>
          <w:rFonts w:ascii="Calibri Light" w:eastAsia="Open Sans" w:hAnsi="Calibri Light" w:cs="Calibri Light"/>
          <w:color w:val="212529"/>
          <w:sz w:val="24"/>
          <w:szCs w:val="24"/>
        </w:rPr>
      </w:pP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>Em contextos de seca e escassez, como nas bacias hidrográficas dos rios São Francisco, Paraná e Tocantins</w:t>
      </w:r>
      <w:r w:rsidR="00A55512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e em bacias hidrográficas que atendem regiões metropolitanas em todo o país, 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>essa medida pode comprometer o abastecimento humano e rural, ampliando conflitos socioambientais e judiciais</w:t>
      </w:r>
      <w:r w:rsidR="00A55512">
        <w:rPr>
          <w:rFonts w:ascii="Calibri Light" w:eastAsia="Open Sans" w:hAnsi="Calibri Light" w:cs="Calibri Light"/>
          <w:color w:val="212529"/>
          <w:sz w:val="24"/>
          <w:szCs w:val="24"/>
        </w:rPr>
        <w:t>, agravando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a segurança hídrica de populações vulneráveis</w:t>
      </w:r>
      <w:r w:rsidR="00A55512">
        <w:rPr>
          <w:rFonts w:ascii="Calibri Light" w:eastAsia="Open Sans" w:hAnsi="Calibri Light" w:cs="Calibri Light"/>
          <w:color w:val="212529"/>
          <w:sz w:val="24"/>
          <w:szCs w:val="24"/>
        </w:rPr>
        <w:t xml:space="preserve"> e com impactos aos ecossistemas</w:t>
      </w:r>
      <w:r w:rsidRPr="00B766FD">
        <w:rPr>
          <w:rFonts w:ascii="Calibri Light" w:eastAsia="Open Sans" w:hAnsi="Calibri Light" w:cs="Calibri Light"/>
          <w:color w:val="212529"/>
          <w:sz w:val="24"/>
          <w:szCs w:val="24"/>
        </w:rPr>
        <w:t>.</w:t>
      </w:r>
    </w:p>
    <w:p w14:paraId="0000015C" w14:textId="77777777" w:rsidR="003032E9" w:rsidRDefault="003032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Open Sans" w:eastAsia="Open Sans" w:hAnsi="Open Sans" w:cs="Open Sans"/>
          <w:b/>
          <w:color w:val="212529"/>
          <w:highlight w:val="white"/>
        </w:rPr>
      </w:pPr>
    </w:p>
    <w:p w14:paraId="0000015E" w14:textId="59E04B83" w:rsidR="003032E9" w:rsidRDefault="00A5709E" w:rsidP="00733D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b/>
          <w:color w:val="212529"/>
          <w:highlight w:val="white"/>
        </w:rPr>
      </w:pPr>
      <w:r>
        <w:rPr>
          <w:rFonts w:ascii="Open Sans" w:eastAsia="Open Sans" w:hAnsi="Open Sans" w:cs="Open Sans"/>
          <w:b/>
          <w:color w:val="212529"/>
          <w:highlight w:val="white"/>
        </w:rPr>
        <w:t>CONCLUSÃO</w:t>
      </w:r>
    </w:p>
    <w:p w14:paraId="00000160" w14:textId="1D90509A" w:rsidR="003032E9" w:rsidRPr="00733D83" w:rsidRDefault="00A5709E" w:rsidP="00733D83">
      <w:pPr>
        <w:spacing w:before="100" w:beforeAutospacing="1" w:after="100" w:afterAutospacing="1" w:line="240" w:lineRule="auto"/>
        <w:jc w:val="both"/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</w:pPr>
      <w:r w:rsidRPr="00733D8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>Diante do</w:t>
      </w:r>
      <w:r w:rsidR="00A55512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 exposto, do</w:t>
      </w:r>
      <w:r w:rsidRPr="00733D8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s equívocos conceituais </w:t>
      </w:r>
      <w:r w:rsidR="00A55512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supracitados </w:t>
      </w:r>
      <w:r w:rsidR="00F961AE" w:rsidRPr="00733D8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e dos ataques aos princípios </w:t>
      </w:r>
      <w:r w:rsidR="00A55512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Constitucionais </w:t>
      </w:r>
      <w:r w:rsidR="00F961AE" w:rsidRPr="00733D8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já consagrados </w:t>
      </w:r>
      <w:r w:rsidR="00A55512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também nas </w:t>
      </w:r>
      <w:r w:rsidR="00F961AE" w:rsidRPr="00733D8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 legislações de Recursos Hídricos e de gestão da água no Brasil, </w:t>
      </w:r>
      <w:r w:rsidRPr="00733D8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vimos por meio desta Nota Técnica </w:t>
      </w:r>
      <w:r w:rsidR="00F961AE" w:rsidRPr="00733D8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alertar os nobres Parlamentares sobre as </w:t>
      </w:r>
      <w:r w:rsidR="00F961AE" w:rsidRPr="00733D8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lastRenderedPageBreak/>
        <w:t>consequências negativas e os prejuízos que a propositura em tela poderá acarretar à Política Nacional de Gerenciamento de Recursos Hídricos</w:t>
      </w:r>
      <w:r w:rsidR="00A55512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>, recomendando a rejeição da Emenda 212</w:t>
      </w:r>
      <w:r w:rsidR="00F961AE" w:rsidRPr="00733D83">
        <w:rPr>
          <w:rFonts w:ascii="Calibri Light" w:eastAsia="Open Sans" w:hAnsi="Calibri Light" w:cs="Calibri Light"/>
          <w:color w:val="212529"/>
          <w:sz w:val="24"/>
          <w:szCs w:val="24"/>
          <w:highlight w:val="white"/>
        </w:rPr>
        <w:t xml:space="preserve">.  </w:t>
      </w:r>
    </w:p>
    <w:p w14:paraId="00000173" w14:textId="27957C3E" w:rsidR="003032E9" w:rsidRDefault="003032E9" w:rsidP="00733D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b/>
          <w:color w:val="212529"/>
          <w:highlight w:val="white"/>
        </w:rPr>
      </w:pPr>
    </w:p>
    <w:sectPr w:rsidR="003032E9" w:rsidSect="00FC5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80" w:right="1416" w:bottom="1715" w:left="1134" w:header="708" w:footer="64" w:gutter="0"/>
      <w:pgNumType w:start="1"/>
      <w:cols w:space="72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5871" w14:textId="77777777" w:rsidR="00C6536E" w:rsidRDefault="00C6536E">
      <w:pPr>
        <w:spacing w:after="0" w:line="240" w:lineRule="auto"/>
      </w:pPr>
      <w:r>
        <w:separator/>
      </w:r>
    </w:p>
  </w:endnote>
  <w:endnote w:type="continuationSeparator" w:id="0">
    <w:p w14:paraId="75895604" w14:textId="77777777" w:rsidR="00C6536E" w:rsidRDefault="00C6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B96C" w14:textId="77777777" w:rsidR="006817FF" w:rsidRDefault="006817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7948" w14:textId="4D28E935" w:rsidR="001F7477" w:rsidRDefault="001F7477" w:rsidP="00045BA2">
    <w:pPr>
      <w:pStyle w:val="Rodap"/>
    </w:pPr>
    <w:r w:rsidRPr="00F90E71">
      <w:rPr>
        <w:b/>
        <w:bCs/>
      </w:rPr>
      <w:t>Obse</w:t>
    </w:r>
    <w:r w:rsidR="00BD28DD">
      <w:rPr>
        <w:b/>
        <w:bCs/>
      </w:rPr>
      <w:t>r</w:t>
    </w:r>
    <w:r w:rsidRPr="00F90E71">
      <w:rPr>
        <w:b/>
        <w:bCs/>
      </w:rPr>
      <w:t>vatório das Águas – OGA</w:t>
    </w:r>
    <w:r>
      <w:t xml:space="preserve"> </w:t>
    </w:r>
    <w:r w:rsidR="0061761C">
      <w:t xml:space="preserve"> </w:t>
    </w:r>
    <w:hyperlink r:id="rId1" w:history="1">
      <w:r w:rsidR="00F90E71" w:rsidRPr="00F90E71">
        <w:rPr>
          <w:rStyle w:val="Hyperlink"/>
          <w:color w:val="000000" w:themeColor="text1"/>
        </w:rPr>
        <w:t>https://observatoriodasaguas.org.br</w:t>
      </w:r>
    </w:hyperlink>
  </w:p>
  <w:p w14:paraId="5BB1B1C3" w14:textId="02D73992" w:rsidR="00045BA2" w:rsidRPr="00F90E71" w:rsidRDefault="00F90E71" w:rsidP="00C35BEB">
    <w:pPr>
      <w:pStyle w:val="Rodap"/>
      <w:jc w:val="both"/>
      <w:rPr>
        <w:b/>
        <w:bCs/>
      </w:rPr>
    </w:pPr>
    <w:r w:rsidRPr="00F90E71">
      <w:rPr>
        <w:b/>
        <w:bCs/>
      </w:rPr>
      <w:t xml:space="preserve">Fundação Avina, </w:t>
    </w:r>
    <w:r w:rsidR="004448C3">
      <w:rPr>
        <w:b/>
        <w:bCs/>
      </w:rPr>
      <w:t xml:space="preserve">Comitê da Bacia Hidrográfica do Rio São Francisco, </w:t>
    </w:r>
    <w:r w:rsidR="00BD28DD">
      <w:rPr>
        <w:b/>
        <w:bCs/>
      </w:rPr>
      <w:t xml:space="preserve">Instituto Democracia e Sustentabilidade, </w:t>
    </w:r>
    <w:r w:rsidRPr="00F90E71">
      <w:rPr>
        <w:b/>
        <w:bCs/>
      </w:rPr>
      <w:t>International Rivers,</w:t>
    </w:r>
    <w:r w:rsidR="00D409E6">
      <w:rPr>
        <w:b/>
        <w:bCs/>
      </w:rPr>
      <w:t xml:space="preserve"> Instituto Internacional Arayara,</w:t>
    </w:r>
    <w:r w:rsidR="006817FF">
      <w:rPr>
        <w:b/>
        <w:bCs/>
      </w:rPr>
      <w:t xml:space="preserve"> Instituto Celso Horta,</w:t>
    </w:r>
    <w:r w:rsidRPr="00F90E71">
      <w:rPr>
        <w:b/>
        <w:bCs/>
      </w:rPr>
      <w:t xml:space="preserve"> Fórum Nacional de Comitês de Bacias Hidrográficas, </w:t>
    </w:r>
    <w:r w:rsidR="00045BA2" w:rsidRPr="00F90E71">
      <w:rPr>
        <w:b/>
        <w:bCs/>
      </w:rPr>
      <w:t>Fundação SOS Mata Atlântica</w:t>
    </w:r>
    <w:r w:rsidR="00C311D8">
      <w:rPr>
        <w:b/>
        <w:bCs/>
      </w:rPr>
      <w:t>, Articulação em Defesa das Águas</w:t>
    </w:r>
    <w:r w:rsidR="00FC5194">
      <w:rPr>
        <w:b/>
        <w:bCs/>
      </w:rPr>
      <w:t>, Coalizão pelos Rios</w:t>
    </w:r>
    <w:r w:rsidR="00BD28DD">
      <w:rPr>
        <w:b/>
        <w:bCs/>
      </w:rPr>
      <w:t>, Rede Geografia das Águas e</w:t>
    </w:r>
    <w:r w:rsidR="004448C3">
      <w:rPr>
        <w:b/>
        <w:bCs/>
      </w:rPr>
      <w:t xml:space="preserve"> The Nature Conservancy</w:t>
    </w:r>
    <w:r w:rsidR="00BD28DD">
      <w:rPr>
        <w:b/>
        <w:bCs/>
      </w:rPr>
      <w:t xml:space="preserve"> (TNC).</w:t>
    </w:r>
  </w:p>
  <w:p w14:paraId="0000017B" w14:textId="2A69447C" w:rsidR="003032E9" w:rsidRDefault="003032E9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F0F0" w14:textId="77777777" w:rsidR="006817FF" w:rsidRDefault="006817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B620" w14:textId="77777777" w:rsidR="00C6536E" w:rsidRDefault="00C6536E">
      <w:pPr>
        <w:spacing w:after="0" w:line="240" w:lineRule="auto"/>
      </w:pPr>
      <w:r>
        <w:separator/>
      </w:r>
    </w:p>
  </w:footnote>
  <w:footnote w:type="continuationSeparator" w:id="0">
    <w:p w14:paraId="1C3AB2D7" w14:textId="77777777" w:rsidR="00C6536E" w:rsidRDefault="00C6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8E77" w14:textId="77777777" w:rsidR="006817FF" w:rsidRDefault="006817F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F926" w14:textId="05F89757" w:rsidR="00F7414D" w:rsidRDefault="003528D6" w:rsidP="00F90E71">
    <w:pPr>
      <w:pStyle w:val="Cabealho"/>
      <w:ind w:left="-567" w:firstLine="283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ACD6FA7" wp14:editId="53E70934">
          <wp:simplePos x="0" y="0"/>
          <wp:positionH relativeFrom="column">
            <wp:posOffset>2922270</wp:posOffset>
          </wp:positionH>
          <wp:positionV relativeFrom="paragraph">
            <wp:posOffset>127000</wp:posOffset>
          </wp:positionV>
          <wp:extent cx="892810" cy="473075"/>
          <wp:effectExtent l="0" t="0" r="254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96" b="13139"/>
                  <a:stretch/>
                </pic:blipFill>
                <pic:spPr bwMode="auto">
                  <a:xfrm>
                    <a:off x="0" y="0"/>
                    <a:ext cx="892810" cy="473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50EDD362" wp14:editId="5E1B350C">
          <wp:simplePos x="0" y="0"/>
          <wp:positionH relativeFrom="column">
            <wp:posOffset>525780</wp:posOffset>
          </wp:positionH>
          <wp:positionV relativeFrom="paragraph">
            <wp:posOffset>7620</wp:posOffset>
          </wp:positionV>
          <wp:extent cx="1021080" cy="505460"/>
          <wp:effectExtent l="0" t="0" r="7620" b="0"/>
          <wp:wrapNone/>
          <wp:docPr id="18830418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BAB994D" wp14:editId="41D14BDB">
          <wp:simplePos x="0" y="0"/>
          <wp:positionH relativeFrom="column">
            <wp:posOffset>-476250</wp:posOffset>
          </wp:positionH>
          <wp:positionV relativeFrom="paragraph">
            <wp:posOffset>190500</wp:posOffset>
          </wp:positionV>
          <wp:extent cx="1000125" cy="364346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64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7C46283" wp14:editId="3D483D3A">
          <wp:simplePos x="0" y="0"/>
          <wp:positionH relativeFrom="column">
            <wp:posOffset>3951612</wp:posOffset>
          </wp:positionH>
          <wp:positionV relativeFrom="paragraph">
            <wp:posOffset>116840</wp:posOffset>
          </wp:positionV>
          <wp:extent cx="1181100" cy="408747"/>
          <wp:effectExtent l="0" t="0" r="0" b="0"/>
          <wp:wrapNone/>
          <wp:docPr id="4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08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E11A4C1" wp14:editId="54750B40">
          <wp:simplePos x="0" y="0"/>
          <wp:positionH relativeFrom="column">
            <wp:posOffset>5330190</wp:posOffset>
          </wp:positionH>
          <wp:positionV relativeFrom="paragraph">
            <wp:posOffset>30480</wp:posOffset>
          </wp:positionV>
          <wp:extent cx="1342390" cy="753110"/>
          <wp:effectExtent l="0" t="0" r="0" b="889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E71">
      <w:t xml:space="preserve">  </w:t>
    </w:r>
  </w:p>
  <w:p w14:paraId="5D2DE456" w14:textId="29DACCEA" w:rsidR="00204D82" w:rsidRDefault="003528D6" w:rsidP="00F90E71">
    <w:pPr>
      <w:pStyle w:val="Cabealho"/>
      <w:ind w:left="-567" w:firstLine="283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66500A" wp14:editId="61CD2029">
          <wp:simplePos x="0" y="0"/>
          <wp:positionH relativeFrom="column">
            <wp:posOffset>1539240</wp:posOffset>
          </wp:positionH>
          <wp:positionV relativeFrom="paragraph">
            <wp:posOffset>1905</wp:posOffset>
          </wp:positionV>
          <wp:extent cx="1276350" cy="396875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B63E5F" w14:textId="71E2D7FB" w:rsidR="004448C3" w:rsidRDefault="004448C3" w:rsidP="00F90E71">
    <w:pPr>
      <w:pStyle w:val="Cabealho"/>
      <w:ind w:left="-567" w:firstLine="283"/>
      <w:jc w:val="center"/>
    </w:pPr>
  </w:p>
  <w:p w14:paraId="0C79522D" w14:textId="72FE4BCB" w:rsidR="004448C3" w:rsidRDefault="004448C3" w:rsidP="00F90E71">
    <w:pPr>
      <w:pStyle w:val="Cabealho"/>
      <w:ind w:left="-567" w:firstLine="283"/>
      <w:jc w:val="center"/>
    </w:pPr>
  </w:p>
  <w:p w14:paraId="5D1EB2B9" w14:textId="39CC9285" w:rsidR="004448C3" w:rsidRDefault="00EB4407" w:rsidP="00F90E71">
    <w:pPr>
      <w:pStyle w:val="Cabealho"/>
      <w:ind w:left="-567" w:firstLine="283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841AAB0" wp14:editId="492B01AF">
          <wp:simplePos x="0" y="0"/>
          <wp:positionH relativeFrom="column">
            <wp:posOffset>483870</wp:posOffset>
          </wp:positionH>
          <wp:positionV relativeFrom="paragraph">
            <wp:posOffset>163830</wp:posOffset>
          </wp:positionV>
          <wp:extent cx="1146175" cy="798830"/>
          <wp:effectExtent l="0" t="0" r="0" b="1270"/>
          <wp:wrapNone/>
          <wp:docPr id="159032117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8C3">
      <w:rPr>
        <w:noProof/>
      </w:rPr>
      <w:drawing>
        <wp:anchor distT="0" distB="0" distL="114300" distR="114300" simplePos="0" relativeHeight="251659264" behindDoc="0" locked="0" layoutInCell="1" allowOverlap="1" wp14:anchorId="2F688577" wp14:editId="7BE57AEC">
          <wp:simplePos x="0" y="0"/>
          <wp:positionH relativeFrom="margin">
            <wp:posOffset>-548640</wp:posOffset>
          </wp:positionH>
          <wp:positionV relativeFrom="paragraph">
            <wp:posOffset>180975</wp:posOffset>
          </wp:positionV>
          <wp:extent cx="1005840" cy="835959"/>
          <wp:effectExtent l="0" t="0" r="3810" b="2540"/>
          <wp:wrapNone/>
          <wp:docPr id="2075019051" name="Imagem 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019051" name="Imagem 8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35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7404F" w14:textId="781DCCFB" w:rsidR="004448C3" w:rsidRDefault="003528D6" w:rsidP="00F90E71">
    <w:pPr>
      <w:pStyle w:val="Cabealho"/>
      <w:ind w:left="-567" w:firstLine="283"/>
      <w:jc w:val="cen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6D64728" wp14:editId="7EF28971">
          <wp:simplePos x="0" y="0"/>
          <wp:positionH relativeFrom="column">
            <wp:posOffset>1824990</wp:posOffset>
          </wp:positionH>
          <wp:positionV relativeFrom="paragraph">
            <wp:posOffset>145415</wp:posOffset>
          </wp:positionV>
          <wp:extent cx="951230" cy="524510"/>
          <wp:effectExtent l="0" t="0" r="1270" b="8890"/>
          <wp:wrapNone/>
          <wp:docPr id="8730445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4407">
      <w:rPr>
        <w:noProof/>
      </w:rPr>
      <w:drawing>
        <wp:anchor distT="0" distB="0" distL="114300" distR="114300" simplePos="0" relativeHeight="251660288" behindDoc="0" locked="0" layoutInCell="1" allowOverlap="1" wp14:anchorId="69E4415B" wp14:editId="6DC0FBC8">
          <wp:simplePos x="0" y="0"/>
          <wp:positionH relativeFrom="column">
            <wp:posOffset>2819400</wp:posOffset>
          </wp:positionH>
          <wp:positionV relativeFrom="paragraph">
            <wp:posOffset>11430</wp:posOffset>
          </wp:positionV>
          <wp:extent cx="1036320" cy="812139"/>
          <wp:effectExtent l="0" t="0" r="0" b="7620"/>
          <wp:wrapNone/>
          <wp:docPr id="199682476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8121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0D71F" w14:textId="103844D9" w:rsidR="004448C3" w:rsidRDefault="00EB4407" w:rsidP="00F90E71">
    <w:pPr>
      <w:pStyle w:val="Cabealho"/>
      <w:ind w:left="-567" w:firstLine="283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11A8206" wp14:editId="0DC3DB0F">
          <wp:simplePos x="0" y="0"/>
          <wp:positionH relativeFrom="column">
            <wp:posOffset>5078730</wp:posOffset>
          </wp:positionH>
          <wp:positionV relativeFrom="paragraph">
            <wp:posOffset>5080</wp:posOffset>
          </wp:positionV>
          <wp:extent cx="1298575" cy="652145"/>
          <wp:effectExtent l="0" t="0" r="0" b="0"/>
          <wp:wrapNone/>
          <wp:docPr id="1115166555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8C3">
      <w:rPr>
        <w:noProof/>
      </w:rPr>
      <w:drawing>
        <wp:anchor distT="0" distB="0" distL="114300" distR="114300" simplePos="0" relativeHeight="251661312" behindDoc="0" locked="0" layoutInCell="1" allowOverlap="1" wp14:anchorId="35F641F3" wp14:editId="3B88CCA6">
          <wp:simplePos x="0" y="0"/>
          <wp:positionH relativeFrom="column">
            <wp:posOffset>4004310</wp:posOffset>
          </wp:positionH>
          <wp:positionV relativeFrom="paragraph">
            <wp:posOffset>29845</wp:posOffset>
          </wp:positionV>
          <wp:extent cx="1127520" cy="389890"/>
          <wp:effectExtent l="0" t="0" r="0" b="0"/>
          <wp:wrapNone/>
          <wp:docPr id="918287996" name="Imagem 10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287996" name="Imagem 10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52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44066" w14:textId="1467F2AF" w:rsidR="004448C3" w:rsidRDefault="004448C3" w:rsidP="00F90E71">
    <w:pPr>
      <w:pStyle w:val="Cabealho"/>
      <w:ind w:left="-567" w:firstLine="283"/>
      <w:jc w:val="center"/>
    </w:pPr>
  </w:p>
  <w:p w14:paraId="3AB7299C" w14:textId="77777777" w:rsidR="004448C3" w:rsidRDefault="004448C3" w:rsidP="00F90E71">
    <w:pPr>
      <w:pStyle w:val="Cabealho"/>
      <w:ind w:left="-567" w:firstLine="283"/>
      <w:jc w:val="center"/>
    </w:pPr>
  </w:p>
  <w:p w14:paraId="42DFABEA" w14:textId="77777777" w:rsidR="004448C3" w:rsidRDefault="004448C3" w:rsidP="00F90E71">
    <w:pPr>
      <w:pStyle w:val="Cabealho"/>
      <w:ind w:left="-567" w:firstLine="28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EC2C" w14:textId="77777777" w:rsidR="006817FF" w:rsidRDefault="006817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0152"/>
    <w:multiLevelType w:val="multilevel"/>
    <w:tmpl w:val="B9B4E36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7862E97"/>
    <w:multiLevelType w:val="multilevel"/>
    <w:tmpl w:val="2468F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1224" w:hanging="504"/>
      </w:pPr>
    </w:lvl>
    <w:lvl w:ilvl="3">
      <w:start w:val="1"/>
      <w:numFmt w:val="decimal"/>
      <w:lvlText w:val="%1.●.%3.%4."/>
      <w:lvlJc w:val="left"/>
      <w:pPr>
        <w:ind w:left="1728" w:hanging="647"/>
      </w:pPr>
    </w:lvl>
    <w:lvl w:ilvl="4">
      <w:start w:val="1"/>
      <w:numFmt w:val="decimal"/>
      <w:lvlText w:val="%1.●.%3.%4.%5."/>
      <w:lvlJc w:val="left"/>
      <w:pPr>
        <w:ind w:left="2232" w:hanging="792"/>
      </w:pPr>
    </w:lvl>
    <w:lvl w:ilvl="5">
      <w:start w:val="1"/>
      <w:numFmt w:val="decimal"/>
      <w:lvlText w:val="%1.●.%3.%4.%5.%6."/>
      <w:lvlJc w:val="left"/>
      <w:pPr>
        <w:ind w:left="2736" w:hanging="934"/>
      </w:pPr>
    </w:lvl>
    <w:lvl w:ilvl="6">
      <w:start w:val="1"/>
      <w:numFmt w:val="decimal"/>
      <w:lvlText w:val="%1.●.%3.%4.%5.%6.%7."/>
      <w:lvlJc w:val="left"/>
      <w:pPr>
        <w:ind w:left="3240" w:hanging="1080"/>
      </w:pPr>
    </w:lvl>
    <w:lvl w:ilvl="7">
      <w:start w:val="1"/>
      <w:numFmt w:val="decimal"/>
      <w:lvlText w:val="%1.●.%3.%4.%5.%6.%7.%8."/>
      <w:lvlJc w:val="left"/>
      <w:pPr>
        <w:ind w:left="3744" w:hanging="1224"/>
      </w:pPr>
    </w:lvl>
    <w:lvl w:ilvl="8">
      <w:start w:val="1"/>
      <w:numFmt w:val="decimal"/>
      <w:lvlText w:val="%1.●.%3.%4.%5.%6.%7.%8.%9."/>
      <w:lvlJc w:val="left"/>
      <w:pPr>
        <w:ind w:left="4320" w:hanging="1440"/>
      </w:pPr>
    </w:lvl>
  </w:abstractNum>
  <w:abstractNum w:abstractNumId="2" w15:restartNumberingAfterBreak="0">
    <w:nsid w:val="2FDD7E61"/>
    <w:multiLevelType w:val="multilevel"/>
    <w:tmpl w:val="35FC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92DE6"/>
    <w:multiLevelType w:val="multilevel"/>
    <w:tmpl w:val="3AE828EA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434CE"/>
    <w:multiLevelType w:val="hybridMultilevel"/>
    <w:tmpl w:val="055C0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572FA"/>
    <w:multiLevelType w:val="multilevel"/>
    <w:tmpl w:val="3EA23C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AEA19FE"/>
    <w:multiLevelType w:val="multilevel"/>
    <w:tmpl w:val="B1127EB4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1E6BA6"/>
    <w:multiLevelType w:val="hybridMultilevel"/>
    <w:tmpl w:val="0C3A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A2845"/>
    <w:multiLevelType w:val="multilevel"/>
    <w:tmpl w:val="2A94D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1224" w:hanging="504"/>
      </w:pPr>
    </w:lvl>
    <w:lvl w:ilvl="3">
      <w:start w:val="1"/>
      <w:numFmt w:val="decimal"/>
      <w:lvlText w:val="%1.●.%3.%4."/>
      <w:lvlJc w:val="left"/>
      <w:pPr>
        <w:ind w:left="1728" w:hanging="647"/>
      </w:pPr>
    </w:lvl>
    <w:lvl w:ilvl="4">
      <w:start w:val="1"/>
      <w:numFmt w:val="decimal"/>
      <w:lvlText w:val="%1.●.%3.%4.%5."/>
      <w:lvlJc w:val="left"/>
      <w:pPr>
        <w:ind w:left="2232" w:hanging="792"/>
      </w:pPr>
    </w:lvl>
    <w:lvl w:ilvl="5">
      <w:start w:val="1"/>
      <w:numFmt w:val="decimal"/>
      <w:lvlText w:val="%1.●.%3.%4.%5.%6."/>
      <w:lvlJc w:val="left"/>
      <w:pPr>
        <w:ind w:left="2736" w:hanging="934"/>
      </w:pPr>
    </w:lvl>
    <w:lvl w:ilvl="6">
      <w:start w:val="1"/>
      <w:numFmt w:val="decimal"/>
      <w:lvlText w:val="%1.●.%3.%4.%5.%6.%7."/>
      <w:lvlJc w:val="left"/>
      <w:pPr>
        <w:ind w:left="3240" w:hanging="1080"/>
      </w:pPr>
    </w:lvl>
    <w:lvl w:ilvl="7">
      <w:start w:val="1"/>
      <w:numFmt w:val="decimal"/>
      <w:lvlText w:val="%1.●.%3.%4.%5.%6.%7.%8."/>
      <w:lvlJc w:val="left"/>
      <w:pPr>
        <w:ind w:left="3744" w:hanging="1224"/>
      </w:pPr>
    </w:lvl>
    <w:lvl w:ilvl="8">
      <w:start w:val="1"/>
      <w:numFmt w:val="decimal"/>
      <w:lvlText w:val="%1.●.%3.%4.%5.%6.%7.%8.%9."/>
      <w:lvlJc w:val="left"/>
      <w:pPr>
        <w:ind w:left="4320" w:hanging="1440"/>
      </w:pPr>
    </w:lvl>
  </w:abstractNum>
  <w:abstractNum w:abstractNumId="9" w15:restartNumberingAfterBreak="0">
    <w:nsid w:val="6E2B3C01"/>
    <w:multiLevelType w:val="multilevel"/>
    <w:tmpl w:val="8244EBD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71CE4C81"/>
    <w:multiLevelType w:val="multilevel"/>
    <w:tmpl w:val="7BA60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1224" w:hanging="504"/>
      </w:pPr>
    </w:lvl>
    <w:lvl w:ilvl="3">
      <w:start w:val="1"/>
      <w:numFmt w:val="decimal"/>
      <w:lvlText w:val="%1.●.%3.%4."/>
      <w:lvlJc w:val="left"/>
      <w:pPr>
        <w:ind w:left="1728" w:hanging="647"/>
      </w:pPr>
    </w:lvl>
    <w:lvl w:ilvl="4">
      <w:start w:val="1"/>
      <w:numFmt w:val="decimal"/>
      <w:lvlText w:val="%1.●.%3.%4.%5."/>
      <w:lvlJc w:val="left"/>
      <w:pPr>
        <w:ind w:left="2232" w:hanging="792"/>
      </w:pPr>
    </w:lvl>
    <w:lvl w:ilvl="5">
      <w:start w:val="1"/>
      <w:numFmt w:val="decimal"/>
      <w:lvlText w:val="%1.●.%3.%4.%5.%6."/>
      <w:lvlJc w:val="left"/>
      <w:pPr>
        <w:ind w:left="2736" w:hanging="934"/>
      </w:pPr>
    </w:lvl>
    <w:lvl w:ilvl="6">
      <w:start w:val="1"/>
      <w:numFmt w:val="decimal"/>
      <w:lvlText w:val="%1.●.%3.%4.%5.%6.%7."/>
      <w:lvlJc w:val="left"/>
      <w:pPr>
        <w:ind w:left="3240" w:hanging="1080"/>
      </w:pPr>
    </w:lvl>
    <w:lvl w:ilvl="7">
      <w:start w:val="1"/>
      <w:numFmt w:val="decimal"/>
      <w:lvlText w:val="%1.●.%3.%4.%5.%6.%7.%8."/>
      <w:lvlJc w:val="left"/>
      <w:pPr>
        <w:ind w:left="3744" w:hanging="1224"/>
      </w:pPr>
    </w:lvl>
    <w:lvl w:ilvl="8">
      <w:start w:val="1"/>
      <w:numFmt w:val="decimal"/>
      <w:lvlText w:val="%1.●.%3.%4.%5.%6.%7.%8.%9."/>
      <w:lvlJc w:val="left"/>
      <w:pPr>
        <w:ind w:left="4320" w:hanging="1440"/>
      </w:pPr>
    </w:lvl>
  </w:abstractNum>
  <w:abstractNum w:abstractNumId="11" w15:restartNumberingAfterBreak="0">
    <w:nsid w:val="77A71850"/>
    <w:multiLevelType w:val="multilevel"/>
    <w:tmpl w:val="D83877A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A7071D0"/>
    <w:multiLevelType w:val="multilevel"/>
    <w:tmpl w:val="F9561926"/>
    <w:lvl w:ilvl="0">
      <w:start w:val="1"/>
      <w:numFmt w:val="lowerLetter"/>
      <w:lvlText w:val="(%1)"/>
      <w:lvlJc w:val="left"/>
      <w:pPr>
        <w:ind w:left="800" w:hanging="4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24899">
    <w:abstractNumId w:val="6"/>
  </w:num>
  <w:num w:numId="2" w16cid:durableId="1564949581">
    <w:abstractNumId w:val="1"/>
  </w:num>
  <w:num w:numId="3" w16cid:durableId="1443189645">
    <w:abstractNumId w:val="10"/>
  </w:num>
  <w:num w:numId="4" w16cid:durableId="234554364">
    <w:abstractNumId w:val="9"/>
  </w:num>
  <w:num w:numId="5" w16cid:durableId="547112795">
    <w:abstractNumId w:val="3"/>
  </w:num>
  <w:num w:numId="6" w16cid:durableId="67121941">
    <w:abstractNumId w:val="11"/>
  </w:num>
  <w:num w:numId="7" w16cid:durableId="316348133">
    <w:abstractNumId w:val="8"/>
  </w:num>
  <w:num w:numId="8" w16cid:durableId="1167093764">
    <w:abstractNumId w:val="12"/>
  </w:num>
  <w:num w:numId="9" w16cid:durableId="914625672">
    <w:abstractNumId w:val="5"/>
  </w:num>
  <w:num w:numId="10" w16cid:durableId="1591619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5070477">
    <w:abstractNumId w:val="7"/>
  </w:num>
  <w:num w:numId="12" w16cid:durableId="85537497">
    <w:abstractNumId w:val="2"/>
  </w:num>
  <w:num w:numId="13" w16cid:durableId="1757820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E9"/>
    <w:rsid w:val="00015855"/>
    <w:rsid w:val="00032CDA"/>
    <w:rsid w:val="00045BA2"/>
    <w:rsid w:val="00062058"/>
    <w:rsid w:val="000C40BB"/>
    <w:rsid w:val="001221F3"/>
    <w:rsid w:val="0012549A"/>
    <w:rsid w:val="00127EEA"/>
    <w:rsid w:val="00152F9C"/>
    <w:rsid w:val="00182E47"/>
    <w:rsid w:val="001A56F2"/>
    <w:rsid w:val="001B10B3"/>
    <w:rsid w:val="001C2BA2"/>
    <w:rsid w:val="001C6B3F"/>
    <w:rsid w:val="001D7B14"/>
    <w:rsid w:val="001E4AFC"/>
    <w:rsid w:val="001E6E41"/>
    <w:rsid w:val="001F1AD2"/>
    <w:rsid w:val="001F7477"/>
    <w:rsid w:val="00204D82"/>
    <w:rsid w:val="00225E24"/>
    <w:rsid w:val="002558D1"/>
    <w:rsid w:val="00273460"/>
    <w:rsid w:val="002E443F"/>
    <w:rsid w:val="003032E9"/>
    <w:rsid w:val="003528D6"/>
    <w:rsid w:val="003847B4"/>
    <w:rsid w:val="00396FB7"/>
    <w:rsid w:val="003A1DE2"/>
    <w:rsid w:val="003A7033"/>
    <w:rsid w:val="003B23A4"/>
    <w:rsid w:val="003D6C6F"/>
    <w:rsid w:val="003F6A2D"/>
    <w:rsid w:val="004448C3"/>
    <w:rsid w:val="00450060"/>
    <w:rsid w:val="004806D2"/>
    <w:rsid w:val="00490C1F"/>
    <w:rsid w:val="004C4C7A"/>
    <w:rsid w:val="00515933"/>
    <w:rsid w:val="0053412A"/>
    <w:rsid w:val="005642CD"/>
    <w:rsid w:val="006065D5"/>
    <w:rsid w:val="0061761C"/>
    <w:rsid w:val="006663DB"/>
    <w:rsid w:val="006817FF"/>
    <w:rsid w:val="00685ED7"/>
    <w:rsid w:val="0070101D"/>
    <w:rsid w:val="00733D83"/>
    <w:rsid w:val="00755483"/>
    <w:rsid w:val="00770DDA"/>
    <w:rsid w:val="007A4540"/>
    <w:rsid w:val="007D58A4"/>
    <w:rsid w:val="008365C8"/>
    <w:rsid w:val="00837240"/>
    <w:rsid w:val="00847396"/>
    <w:rsid w:val="0086314F"/>
    <w:rsid w:val="008954F8"/>
    <w:rsid w:val="008A7866"/>
    <w:rsid w:val="0092174F"/>
    <w:rsid w:val="009230A2"/>
    <w:rsid w:val="0096316D"/>
    <w:rsid w:val="009675D3"/>
    <w:rsid w:val="00975495"/>
    <w:rsid w:val="009E13DB"/>
    <w:rsid w:val="00A3717D"/>
    <w:rsid w:val="00A55512"/>
    <w:rsid w:val="00A5709E"/>
    <w:rsid w:val="00A84B5D"/>
    <w:rsid w:val="00AD1FA4"/>
    <w:rsid w:val="00AD3FDF"/>
    <w:rsid w:val="00AF089E"/>
    <w:rsid w:val="00B048E4"/>
    <w:rsid w:val="00B22448"/>
    <w:rsid w:val="00B45C07"/>
    <w:rsid w:val="00B515D6"/>
    <w:rsid w:val="00B51B0E"/>
    <w:rsid w:val="00B6549A"/>
    <w:rsid w:val="00B72347"/>
    <w:rsid w:val="00B74562"/>
    <w:rsid w:val="00B766FD"/>
    <w:rsid w:val="00BC0A3A"/>
    <w:rsid w:val="00BD28DD"/>
    <w:rsid w:val="00C311D8"/>
    <w:rsid w:val="00C35BEB"/>
    <w:rsid w:val="00C5031B"/>
    <w:rsid w:val="00C6536E"/>
    <w:rsid w:val="00C84EC3"/>
    <w:rsid w:val="00D409E6"/>
    <w:rsid w:val="00D63A50"/>
    <w:rsid w:val="00DA63CF"/>
    <w:rsid w:val="00DE0ABE"/>
    <w:rsid w:val="00DF7DA8"/>
    <w:rsid w:val="00E07363"/>
    <w:rsid w:val="00E53D4F"/>
    <w:rsid w:val="00E64376"/>
    <w:rsid w:val="00E6589A"/>
    <w:rsid w:val="00EB4407"/>
    <w:rsid w:val="00EE6D78"/>
    <w:rsid w:val="00F008DB"/>
    <w:rsid w:val="00F35453"/>
    <w:rsid w:val="00F61215"/>
    <w:rsid w:val="00F7414D"/>
    <w:rsid w:val="00F90E71"/>
    <w:rsid w:val="00F93365"/>
    <w:rsid w:val="00F961AE"/>
    <w:rsid w:val="00FB4D06"/>
    <w:rsid w:val="00FC3616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F969E"/>
  <w15:docId w15:val="{5D3C1AE5-30CB-D347-9752-E6B9CFB8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65D5"/>
    <w:pPr>
      <w:spacing w:line="254" w:lineRule="auto"/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D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DD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37240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74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14D"/>
  </w:style>
  <w:style w:type="paragraph" w:styleId="Rodap">
    <w:name w:val="footer"/>
    <w:basedOn w:val="Normal"/>
    <w:link w:val="RodapChar"/>
    <w:uiPriority w:val="99"/>
    <w:unhideWhenUsed/>
    <w:rsid w:val="00F74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1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3D8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3D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33D8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90E7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0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1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bservatoriodasaguas.org.br/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jpg"/><Relationship Id="rId10" Type="http://schemas.openxmlformats.org/officeDocument/2006/relationships/image" Target="media/image10.png"/><Relationship Id="rId4" Type="http://schemas.openxmlformats.org/officeDocument/2006/relationships/image" Target="media/image4.gif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5930</Characters>
  <Application>Microsoft Office Word</Application>
  <DocSecurity>0</DocSecurity>
  <Lines>95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</dc:creator>
  <cp:lastModifiedBy>ANGELO LIMA</cp:lastModifiedBy>
  <cp:revision>4</cp:revision>
  <dcterms:created xsi:type="dcterms:W3CDTF">2025-11-02T23:47:00Z</dcterms:created>
  <dcterms:modified xsi:type="dcterms:W3CDTF">2025-11-02T23:48:00Z</dcterms:modified>
</cp:coreProperties>
</file>