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6D64" w14:textId="38BE6B3B" w:rsidR="009B5B34" w:rsidRDefault="009B5B34" w:rsidP="009B5B34">
      <w:pPr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A </w:t>
      </w:r>
      <w:r w:rsidRPr="0036215A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FERRAMENTA DE AFERIÇÃO</w:t>
      </w: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 DOS INDICADORES</w:t>
      </w:r>
      <w:r w:rsidRPr="0036215A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 </w:t>
      </w:r>
    </w:p>
    <w:p w14:paraId="3E1D72C4" w14:textId="77777777" w:rsidR="009B5B34" w:rsidRPr="0036215A" w:rsidRDefault="009B5B34" w:rsidP="009B5B34">
      <w:pPr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Esta é a parte para explicar de que forma deve ser preenchida a planilha de avaliação dos indicadores de governança.</w:t>
      </w:r>
    </w:p>
    <w:p w14:paraId="0AC89017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 ideia no uso desta ferramenta é a de possibilitar uma análise coletiva, em qualquer uma das esferas do Sistema Nacional de Gerenciamento dos Recursos Hídricos, voltada para uma avaliação da governança das águas.</w:t>
      </w:r>
    </w:p>
    <w:p w14:paraId="4B4C6F63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4E5A092C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Os indicadores propostos até este momento nem sempre são facilmente mensuráveis e nem suas fontes são de fácil acesso, porém o consenso obtido sobre a importância de cada um apontará para a necessidade de buscar maiores informações que permitam detalhar a situação inicialmente avaliada.</w:t>
      </w:r>
    </w:p>
    <w:p w14:paraId="6F1EBF83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09A5FF53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 recomendação é para que sua aplicação seja feita com diferentes atores que atuam em cada uma das esferas do sistema, de modo a permitir um nível de análise adequado em cada esfera, ou seja, proceder as discussões com o olhar focalizado no nível que se quer verificar: nacional, estadual ou por bacia.</w:t>
      </w:r>
    </w:p>
    <w:p w14:paraId="4040DB02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131EBCFD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 ferramenta, inspirada no termômetro utilizado pelo WWF-Brasil e no Semáforo utilizado pela OCDE, contém cinco itens de discussão sobre cada um dos indicadores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.</w:t>
      </w:r>
    </w:p>
    <w:p w14:paraId="1D44E08C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76671BE5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1337F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A 1ª coluna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é o Indicador e é a partir dele que toda avaliação deve ser realizada.</w:t>
      </w:r>
    </w:p>
    <w:p w14:paraId="6CA61381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3A472AAF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1337F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Na 2ª coluna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– O que medir - são itens para colaborar na avaliação do indicador e neste caso ele pode ser avaliado em três estágios:</w:t>
      </w:r>
    </w:p>
    <w:p w14:paraId="573D47ED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64FD2C75" w14:textId="77777777" w:rsidR="009B5B34" w:rsidRPr="00F77EEB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a</w:t>
      </w:r>
      <w:r w:rsidRPr="00F77EEB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 – Estágio atual do </w:t>
      </w: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a</w:t>
      </w:r>
      <w:r w:rsidRPr="00F77EEB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specto a ser verificado.</w:t>
      </w:r>
    </w:p>
    <w:p w14:paraId="5F9F6AC8" w14:textId="77777777" w:rsidR="009B5B34" w:rsidRPr="00F77EEB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</w:p>
    <w:p w14:paraId="01D0522D" w14:textId="77777777" w:rsidR="009B5B34" w:rsidRPr="00F77EEB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F77EEB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ab/>
        <w:t xml:space="preserve">Cada aspecto será avaliado de acordo com o seu estágio no sistema: </w:t>
      </w:r>
    </w:p>
    <w:p w14:paraId="2FED41D2" w14:textId="77777777" w:rsidR="009B5B34" w:rsidRPr="00F77EEB" w:rsidRDefault="009B5B34" w:rsidP="009B5B34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F77EEB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Plenamente </w:t>
      </w:r>
      <w:r w:rsidRPr="00F77EEB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– quando o estágio for considerado satisfatório pelos avaliadore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s, quando pelo menos dois de três itens da 2ª coluna for atendido ou todos atendidos, mesmo que no caso desta coluna apresentar apenas 1 item.</w:t>
      </w:r>
    </w:p>
    <w:p w14:paraId="3C02D4FB" w14:textId="77777777" w:rsidR="009B5B34" w:rsidRPr="00F77EEB" w:rsidRDefault="009B5B34" w:rsidP="009B5B34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F77EEB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Parcialmente</w:t>
      </w:r>
      <w:r w:rsidRPr="00F77EEB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– em estágio parcial de implementação ou em desenvolvimento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, quando atende de 1 a 2 itens de 3 ou mesmo que nesta coluna tenha apenas 1 item, e este esteja implementado parcialmente.</w:t>
      </w:r>
      <w:r w:rsidRPr="00F77EEB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</w:t>
      </w:r>
    </w:p>
    <w:p w14:paraId="53B17ACC" w14:textId="77777777" w:rsidR="009B5B34" w:rsidRPr="00051007" w:rsidRDefault="009B5B34" w:rsidP="009B5B34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Insatisfatório – </w:t>
      </w:r>
      <w:r w:rsidRPr="00357AF1">
        <w:rPr>
          <w:rFonts w:ascii="Times New Roman" w:eastAsia="Times New Roman" w:hAnsi="Times New Roman" w:cs="Times New Roman"/>
          <w:bCs/>
          <w:color w:val="26282A"/>
          <w:sz w:val="24"/>
          <w:szCs w:val="24"/>
          <w:lang w:eastAsia="pt-BR"/>
        </w:rPr>
        <w:t>não atende nenhum dos itens da 2ª coluna</w:t>
      </w:r>
      <w:r>
        <w:rPr>
          <w:rFonts w:ascii="Times New Roman" w:eastAsia="Times New Roman" w:hAnsi="Times New Roman" w:cs="Times New Roman"/>
          <w:bCs/>
          <w:color w:val="26282A"/>
          <w:sz w:val="24"/>
          <w:szCs w:val="24"/>
          <w:lang w:eastAsia="pt-BR"/>
        </w:rPr>
        <w:t>.</w:t>
      </w:r>
    </w:p>
    <w:p w14:paraId="5AC0C73D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30A854EA" w14:textId="3CDE72D9" w:rsidR="009B5B34" w:rsidRPr="00051007" w:rsidRDefault="009B5B34" w:rsidP="009B5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Plenamente – Percentagem de 80 a 100%; Numérica – Atingiu </w:t>
      </w:r>
      <w:r w:rsidR="00C21880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pelo men</w:t>
      </w:r>
      <w:r w:rsidR="009749F3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os dois itens</w:t>
      </w: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; </w:t>
      </w:r>
    </w:p>
    <w:p w14:paraId="44CE621C" w14:textId="009848EC" w:rsidR="009B5B34" w:rsidRPr="00051007" w:rsidRDefault="009B5B34" w:rsidP="009B5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Parcialmente – de 40 a 79%; Numérica – Atingiu de </w:t>
      </w:r>
      <w:r w:rsidR="00C21880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1 a 2</w:t>
      </w: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itens</w:t>
      </w:r>
    </w:p>
    <w:p w14:paraId="79E478D6" w14:textId="5633EB54" w:rsidR="009B5B34" w:rsidRPr="00051007" w:rsidRDefault="009B5B34" w:rsidP="009B5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Insatisfatório – Percentagem – de 0 a 39% - Insatisfatório – </w:t>
      </w:r>
      <w:r w:rsidR="00F61F7E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Não a</w:t>
      </w: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tingiu </w:t>
      </w:r>
      <w:r w:rsidR="00F61F7E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sequer um i</w:t>
      </w:r>
      <w:r w:rsidR="00C21880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tem</w:t>
      </w:r>
      <w:r w:rsidR="00A62E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</w:t>
      </w:r>
    </w:p>
    <w:p w14:paraId="4CFCAB5E" w14:textId="77777777" w:rsidR="009B5B34" w:rsidRPr="00051007" w:rsidRDefault="009B5B34" w:rsidP="009B5B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1007">
        <w:rPr>
          <w:rFonts w:ascii="Times New Roman" w:eastAsia="Times New Roman" w:hAnsi="Times New Roman" w:cs="Times New Roman"/>
          <w:b/>
          <w:bCs/>
          <w:color w:val="26282A"/>
          <w:sz w:val="24"/>
          <w:szCs w:val="24"/>
          <w:lang w:eastAsia="pt-BR"/>
        </w:rPr>
        <w:t>OBS:</w:t>
      </w: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Nos casos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quando na 2ª coluna </w:t>
      </w: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tiver apenas 1 item, a avaliação deve ser feita utiliza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n</w:t>
      </w: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do Plenamente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ou</w:t>
      </w:r>
      <w:r w:rsidRPr="0005100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Insatisfatório.</w:t>
      </w:r>
    </w:p>
    <w:p w14:paraId="14471848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="Arial"/>
          <w:color w:val="26282A"/>
          <w:sz w:val="24"/>
          <w:szCs w:val="24"/>
          <w:lang w:eastAsia="pt-BR"/>
        </w:rPr>
      </w:pPr>
    </w:p>
    <w:p w14:paraId="067B418D" w14:textId="77777777" w:rsidR="009B5B34" w:rsidRPr="007E47E5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7E47E5">
        <w:rPr>
          <w:rFonts w:ascii="Times New Roman" w:eastAsia="Times New Roman" w:hAnsi="Times New Roman" w:cs="Times New Roman"/>
          <w:b/>
          <w:bCs/>
          <w:color w:val="26282A"/>
          <w:sz w:val="24"/>
          <w:szCs w:val="24"/>
          <w:lang w:eastAsia="pt-BR"/>
        </w:rPr>
        <w:lastRenderedPageBreak/>
        <w:t>Na 4ª coluna</w:t>
      </w:r>
      <w:r w:rsidRPr="007E47E5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, os membros do grupo de avaliação podem fazer comentários referentes à avaliação que foi feita do indicador, explicando ou justificando a resposta que deram, para que mesmo quem não participa da avaliação possa entender o que foi feito.</w:t>
      </w:r>
    </w:p>
    <w:p w14:paraId="418E64F6" w14:textId="77777777" w:rsidR="009B5B34" w:rsidRPr="007E47E5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0EC407B0" w14:textId="77777777" w:rsidR="009B5B34" w:rsidRPr="007E47E5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7E47E5">
        <w:rPr>
          <w:rFonts w:ascii="Times New Roman" w:eastAsia="Times New Roman" w:hAnsi="Times New Roman" w:cs="Times New Roman"/>
          <w:b/>
          <w:bCs/>
          <w:color w:val="26282A"/>
          <w:sz w:val="24"/>
          <w:szCs w:val="24"/>
          <w:lang w:eastAsia="pt-BR"/>
        </w:rPr>
        <w:t>Na 5ª coluna</w:t>
      </w:r>
      <w:r w:rsidRPr="007E47E5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é:</w:t>
      </w:r>
    </w:p>
    <w:p w14:paraId="1167A802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b</w:t>
      </w:r>
      <w:r w:rsidRPr="0036215A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 – Análise tendencial.</w:t>
      </w:r>
    </w:p>
    <w:p w14:paraId="50A509A0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</w:p>
    <w:p w14:paraId="666F221A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Será feita uma análise sobre a situação de cada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indicador e/ou do que medir</w:t>
      </w: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em relação a um futuro próximo:</w:t>
      </w:r>
    </w:p>
    <w:p w14:paraId="507C3DA0" w14:textId="77777777" w:rsidR="009B5B34" w:rsidRPr="0036215A" w:rsidRDefault="009B5B34" w:rsidP="009B5B34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Irá melhorar.</w:t>
      </w:r>
    </w:p>
    <w:p w14:paraId="4954F878" w14:textId="77777777" w:rsidR="009B5B34" w:rsidRPr="0036215A" w:rsidRDefault="009B5B34" w:rsidP="009B5B34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Permanecerá estável.</w:t>
      </w:r>
    </w:p>
    <w:p w14:paraId="5BCCE929" w14:textId="77777777" w:rsidR="009B5B34" w:rsidRPr="0036215A" w:rsidRDefault="009B5B34" w:rsidP="009B5B34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Irá reduzir.</w:t>
      </w:r>
    </w:p>
    <w:p w14:paraId="5F19B45E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</w:p>
    <w:p w14:paraId="78295841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Na 6ª coluna é o:</w:t>
      </w:r>
    </w:p>
    <w:p w14:paraId="652BBB35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</w:p>
    <w:p w14:paraId="59B9DB5C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c</w:t>
      </w:r>
      <w:r w:rsidRPr="0036215A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 – Nível de Consenso entre os avaliadores do grupo.</w:t>
      </w:r>
    </w:p>
    <w:p w14:paraId="4A2142F8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Após a avaliação o grupo deverá dizer se o consenso para cada avaliação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de cada indicador </w:t>
      </w: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foi: forte, apenas aceitável ou se a avaliação se deu sob pouco consenso.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Isto também é importante pois a avaliação de indicador de governança traz um pouco de subjetividade e o nível de consenso pode ajudar a mostrar isso.</w:t>
      </w:r>
    </w:p>
    <w:p w14:paraId="7913092B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6A53B818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Na 7ª coluna é o:</w:t>
      </w:r>
    </w:p>
    <w:p w14:paraId="28CA6C21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 w:rsidRPr="000536A7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PAINEL DE BORDO</w:t>
      </w: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:</w:t>
      </w:r>
    </w:p>
    <w:p w14:paraId="78A2E7AE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</w:p>
    <w:p w14:paraId="1C9EF92C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6A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As notas serão dadas em todos os indicadores, sendo de 0 (zero) à 10 (dez). A nota O (zero) é dada caso o indicador não tenha sido implementado ou não realizado. A nota 10 (dez) é para o caso </w:t>
      </w:r>
      <w:proofErr w:type="gramStart"/>
      <w:r w:rsidRPr="000536A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do</w:t>
      </w:r>
      <w:proofErr w:type="gramEnd"/>
      <w:r w:rsidRPr="000536A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indicador ter sido implementado ou cumprido em sua plenitude, ou seja elaborado, implementado, avaliado, tem metas e indicadores para o mesmo. </w:t>
      </w:r>
    </w:p>
    <w:p w14:paraId="19C9C34F" w14:textId="77777777" w:rsidR="009B5B34" w:rsidRPr="000536A7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6C567B9F" w14:textId="77777777" w:rsidR="009B5B34" w:rsidRPr="000536A7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6A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As notas entre 0 (zero) e 10 (dez) são mais subjetivas e neste caso, o grupo que está avaliando, procura avaliar qual a melhor nota que se aplica. Por exemplo: se o indicador foi elaborado, mas não implementado, a nota pode estar entre 1 (hum) e 5 (cinco), entre 1 (hum) e 6 (seis) e assim por diante.</w:t>
      </w:r>
    </w:p>
    <w:p w14:paraId="4CD17F5E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1C1015B0" w14:textId="77777777" w:rsidR="009B5B34" w:rsidRPr="000536A7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6A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Ao final, será tirada uma média, cujo resultado será a soma dos indicadores, dividido pelo número deles.</w:t>
      </w:r>
    </w:p>
    <w:p w14:paraId="301CC0ED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5A222295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0536A7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 instituição/comitê que tiver uma média entre 0 – 4 estará no nível BÁSICO, a instituição que tiver média entre 5 – 7, estará no nível INTERMEDIÁRIO e a instituição que estiver entre 8 – 10, estará no nível AVANÇADO.</w:t>
      </w:r>
    </w:p>
    <w:p w14:paraId="6A9589D7" w14:textId="77777777" w:rsidR="009B5B34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05D5E389" w14:textId="77777777" w:rsidR="009B5B34" w:rsidRPr="000536A7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Abaixo na planilha existem mais dois espaços para que o grupo que esteja avaliando possa inserir conclusões e recomendações.</w:t>
      </w:r>
    </w:p>
    <w:p w14:paraId="7986BDDB" w14:textId="77777777" w:rsidR="009B5B34" w:rsidRPr="000536A7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412E7883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lastRenderedPageBreak/>
        <w:t>d</w:t>
      </w:r>
      <w:r w:rsidRPr="0036215A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 – Principais Conclusões sobre o conjunto da dimensão.</w:t>
      </w:r>
    </w:p>
    <w:p w14:paraId="2ED22078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</w:p>
    <w:p w14:paraId="4E345E21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O grupo deverá resumir a avaliação feita em conclusões que apontarão para recomendações de melhoria, correção de rumos, definição de estratégias e outras recomendações para fazer avançar o aspecto em observação.</w:t>
      </w:r>
    </w:p>
    <w:p w14:paraId="4A0BFD37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48FE1008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>e</w:t>
      </w:r>
      <w:r w:rsidRPr="0036215A"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  <w:t xml:space="preserve"> – Recomendações</w:t>
      </w:r>
    </w:p>
    <w:p w14:paraId="55B9CFB5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26282A"/>
          <w:sz w:val="24"/>
          <w:szCs w:val="24"/>
          <w:lang w:eastAsia="pt-BR"/>
        </w:rPr>
      </w:pPr>
    </w:p>
    <w:p w14:paraId="5462338F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A partir das conclusões e, identificadas as lacunas, entraves e suas possíveis causas, o grupo pode sugerir recomendações que se traduzam em agendas de trabalho, planos e outros instrumentos de ação voltados para a superação dos problemas verificados.</w:t>
      </w:r>
    </w:p>
    <w:p w14:paraId="5660E8DD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</w:p>
    <w:p w14:paraId="5ED2400C" w14:textId="77777777" w:rsidR="009B5B34" w:rsidRPr="0036215A" w:rsidRDefault="009B5B34" w:rsidP="009B5B3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</w:pP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Por fim é importante que o grupo avalie a ferramenta por meio de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ste</w:t>
      </w: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instrumental de avaliação para verificar a relevância e aplicabilidade dos indicadores, em cada uma das escalas, de forma </w:t>
      </w:r>
      <w:r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>que isto sirva também para</w:t>
      </w:r>
      <w:r w:rsidRPr="0036215A">
        <w:rPr>
          <w:rFonts w:ascii="Times New Roman" w:eastAsia="Times New Roman" w:hAnsi="Times New Roman" w:cs="Times New Roman"/>
          <w:color w:val="26282A"/>
          <w:sz w:val="24"/>
          <w:szCs w:val="24"/>
          <w:lang w:eastAsia="pt-BR"/>
        </w:rPr>
        <w:t xml:space="preserve"> aperfeiçoar a proposta aqui apresentada.</w:t>
      </w:r>
    </w:p>
    <w:p w14:paraId="42EFFD6D" w14:textId="77777777" w:rsidR="009B5B34" w:rsidRDefault="009B5B34"/>
    <w:sectPr w:rsidR="009B5B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B7863" w14:textId="77777777" w:rsidR="00027697" w:rsidRDefault="00027697" w:rsidP="00CC63B3">
      <w:pPr>
        <w:spacing w:after="0" w:line="240" w:lineRule="auto"/>
      </w:pPr>
      <w:r>
        <w:separator/>
      </w:r>
    </w:p>
  </w:endnote>
  <w:endnote w:type="continuationSeparator" w:id="0">
    <w:p w14:paraId="5CDA86D5" w14:textId="77777777" w:rsidR="00027697" w:rsidRDefault="00027697" w:rsidP="00CC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5C8D2" w14:textId="77777777" w:rsidR="00027697" w:rsidRDefault="00027697" w:rsidP="00CC63B3">
      <w:pPr>
        <w:spacing w:after="0" w:line="240" w:lineRule="auto"/>
      </w:pPr>
      <w:r>
        <w:separator/>
      </w:r>
    </w:p>
  </w:footnote>
  <w:footnote w:type="continuationSeparator" w:id="0">
    <w:p w14:paraId="73CBBD16" w14:textId="77777777" w:rsidR="00027697" w:rsidRDefault="00027697" w:rsidP="00CC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4BBE" w14:textId="067187ED" w:rsidR="00CC63B3" w:rsidRDefault="00CC63B3">
    <w:pPr>
      <w:pStyle w:val="Cabealho"/>
    </w:pPr>
    <w:r w:rsidRPr="00CC4910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C783516" wp14:editId="7A64E38B">
          <wp:simplePos x="0" y="0"/>
          <wp:positionH relativeFrom="margin">
            <wp:posOffset>1762125</wp:posOffset>
          </wp:positionH>
          <wp:positionV relativeFrom="paragraph">
            <wp:posOffset>-372110</wp:posOffset>
          </wp:positionV>
          <wp:extent cx="1645920" cy="7683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79D6"/>
    <w:multiLevelType w:val="hybridMultilevel"/>
    <w:tmpl w:val="BEEC00F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2BD3564"/>
    <w:multiLevelType w:val="hybridMultilevel"/>
    <w:tmpl w:val="E43A056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34"/>
    <w:rsid w:val="00027697"/>
    <w:rsid w:val="00222E66"/>
    <w:rsid w:val="004E05D1"/>
    <w:rsid w:val="009749F3"/>
    <w:rsid w:val="009B5B34"/>
    <w:rsid w:val="00A62E07"/>
    <w:rsid w:val="00C21880"/>
    <w:rsid w:val="00CC63B3"/>
    <w:rsid w:val="00F6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2C06"/>
  <w15:chartTrackingRefBased/>
  <w15:docId w15:val="{031D5D63-9CDA-4D59-8972-122CA658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B5B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B3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B3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B3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C6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63B3"/>
  </w:style>
  <w:style w:type="paragraph" w:styleId="Rodap">
    <w:name w:val="footer"/>
    <w:basedOn w:val="Normal"/>
    <w:link w:val="RodapChar"/>
    <w:uiPriority w:val="99"/>
    <w:unhideWhenUsed/>
    <w:rsid w:val="00CC6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6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791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José Rodrigues Lima</dc:creator>
  <cp:keywords/>
  <dc:description/>
  <cp:lastModifiedBy>Angelo José Rodrigues Lima</cp:lastModifiedBy>
  <cp:revision>8</cp:revision>
  <dcterms:created xsi:type="dcterms:W3CDTF">2020-05-15T22:12:00Z</dcterms:created>
  <dcterms:modified xsi:type="dcterms:W3CDTF">2021-08-03T19:45:00Z</dcterms:modified>
</cp:coreProperties>
</file>